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10" w:rsidRPr="00A85510" w:rsidRDefault="00A85510" w:rsidP="00A85510">
      <w:pPr>
        <w:tabs>
          <w:tab w:val="right" w:pos="423"/>
          <w:tab w:val="right" w:pos="566"/>
          <w:tab w:val="right" w:pos="848"/>
          <w:tab w:val="right" w:pos="1273"/>
        </w:tabs>
        <w:bidi/>
        <w:spacing w:before="240" w:after="240"/>
        <w:jc w:val="center"/>
        <w:rPr>
          <w:rFonts w:ascii="Traditional Arabic" w:eastAsia="Calibri" w:hAnsi="Traditional Arabic" w:cs="Traditional Arabic"/>
          <w:b/>
          <w:bCs/>
          <w:sz w:val="36"/>
          <w:szCs w:val="36"/>
          <w:rtl/>
          <w:lang w:bidi="ar-DZ"/>
        </w:rPr>
      </w:pPr>
      <w:r>
        <w:rPr>
          <w:rFonts w:ascii="Traditional Arabic" w:eastAsia="Calibri" w:hAnsi="Traditional Arabic" w:cs="Traditional Arabic" w:hint="cs"/>
          <w:b/>
          <w:bCs/>
          <w:sz w:val="36"/>
          <w:szCs w:val="36"/>
          <w:rtl/>
          <w:lang w:bidi="ar-DZ"/>
        </w:rPr>
        <w:t xml:space="preserve">المحاضرة الرابعة: </w:t>
      </w:r>
      <w:bookmarkStart w:id="0" w:name="_GoBack"/>
      <w:bookmarkEnd w:id="0"/>
      <w:r w:rsidRPr="00A85510">
        <w:rPr>
          <w:rFonts w:ascii="Traditional Arabic" w:eastAsia="Calibri" w:hAnsi="Traditional Arabic" w:cs="Traditional Arabic" w:hint="cs"/>
          <w:b/>
          <w:bCs/>
          <w:sz w:val="36"/>
          <w:szCs w:val="36"/>
          <w:rtl/>
          <w:lang w:bidi="ar-DZ"/>
        </w:rPr>
        <w:t>فلسفة التربية عند الإمام أبي حامد الغزالي</w:t>
      </w:r>
    </w:p>
    <w:p w:rsidR="00A85510" w:rsidRPr="00A85510" w:rsidRDefault="00A85510" w:rsidP="00A85510">
      <w:pPr>
        <w:tabs>
          <w:tab w:val="right" w:pos="423"/>
          <w:tab w:val="right" w:pos="566"/>
          <w:tab w:val="right" w:pos="848"/>
          <w:tab w:val="right" w:pos="1273"/>
        </w:tabs>
        <w:bidi/>
        <w:spacing w:before="240" w:after="240"/>
        <w:jc w:val="both"/>
        <w:rPr>
          <w:rFonts w:ascii="Traditional Arabic" w:eastAsia="Calibri" w:hAnsi="Traditional Arabic" w:cs="Traditional Arabic"/>
          <w:sz w:val="32"/>
          <w:szCs w:val="32"/>
          <w:rtl/>
          <w:lang w:bidi="ar-DZ"/>
        </w:rPr>
      </w:pPr>
      <w:r w:rsidRPr="00A85510">
        <w:rPr>
          <w:rFonts w:ascii="Traditional Arabic" w:eastAsia="Calibri" w:hAnsi="Traditional Arabic" w:cs="Traditional Arabic" w:hint="cs"/>
          <w:sz w:val="32"/>
          <w:szCs w:val="32"/>
          <w:rtl/>
          <w:lang w:bidi="ar-DZ"/>
        </w:rPr>
        <w:t>ترجمة:</w:t>
      </w:r>
    </w:p>
    <w:p w:rsidR="00A85510" w:rsidRPr="00A85510" w:rsidRDefault="00A85510" w:rsidP="00A85510">
      <w:pPr>
        <w:tabs>
          <w:tab w:val="right" w:pos="423"/>
          <w:tab w:val="right" w:pos="566"/>
          <w:tab w:val="right" w:pos="848"/>
          <w:tab w:val="right" w:pos="1273"/>
        </w:tabs>
        <w:bidi/>
        <w:spacing w:before="240" w:after="240"/>
        <w:ind w:firstLine="423"/>
        <w:jc w:val="both"/>
        <w:rPr>
          <w:rFonts w:ascii="Traditional Arabic" w:eastAsia="Calibri" w:hAnsi="Traditional Arabic" w:cs="Traditional Arabic"/>
          <w:sz w:val="32"/>
          <w:szCs w:val="32"/>
          <w:rtl/>
          <w:lang w:bidi="ar-DZ"/>
        </w:rPr>
      </w:pPr>
      <w:r w:rsidRPr="00A85510">
        <w:rPr>
          <w:rFonts w:ascii="Traditional Arabic" w:eastAsia="Calibri" w:hAnsi="Traditional Arabic" w:cs="Traditional Arabic" w:hint="cs"/>
          <w:sz w:val="32"/>
          <w:szCs w:val="32"/>
          <w:rtl/>
          <w:lang w:bidi="ar-DZ"/>
        </w:rPr>
        <w:t xml:space="preserve">هو أبو حامد بن محمد الغزالي الملقب حجة الإسلام زين الدين الطوسي الفقيه الشافعي، ولد بطوس وهي مدينة في خراسان في بلاد فارس سنة 450 هـ، كان والده إنسانا صالحا أوصى بتعلمه وأخيه لصديقه الصوفي ولما نفذ ما تركه والدهما من مال لجأ الاثنان إلى مدرسة لطلب العلم، درس الغزالي الفقه والجدل والمنطق والفلسفة ففهم ما جاء به أصحاب هذه العلوم فرد عليهم، وصنف في كل علم كتبا أجاد فيها، كان شديد الذكاء قوي المحافظة، سديد النظر وصاحب حجة. تولى التدريس في مدرسة "نظامية ببغداد سنة 484 هـ حيث برزت </w:t>
      </w:r>
      <w:proofErr w:type="spellStart"/>
      <w:r w:rsidRPr="00A85510">
        <w:rPr>
          <w:rFonts w:ascii="Traditional Arabic" w:eastAsia="Calibri" w:hAnsi="Traditional Arabic" w:cs="Traditional Arabic" w:hint="cs"/>
          <w:sz w:val="32"/>
          <w:szCs w:val="32"/>
          <w:rtl/>
          <w:lang w:bidi="ar-DZ"/>
        </w:rPr>
        <w:t>قدوته</w:t>
      </w:r>
      <w:proofErr w:type="spellEnd"/>
      <w:r w:rsidRPr="00A85510">
        <w:rPr>
          <w:rFonts w:ascii="Traditional Arabic" w:eastAsia="Calibri" w:hAnsi="Traditional Arabic" w:cs="Traditional Arabic" w:hint="cs"/>
          <w:sz w:val="32"/>
          <w:szCs w:val="32"/>
          <w:rtl/>
          <w:lang w:bidi="ar-DZ"/>
        </w:rPr>
        <w:t xml:space="preserve"> </w:t>
      </w:r>
      <w:proofErr w:type="gramStart"/>
      <w:r w:rsidRPr="00A85510">
        <w:rPr>
          <w:rFonts w:ascii="Traditional Arabic" w:eastAsia="Calibri" w:hAnsi="Traditional Arabic" w:cs="Traditional Arabic" w:hint="cs"/>
          <w:sz w:val="32"/>
          <w:szCs w:val="32"/>
          <w:rtl/>
          <w:lang w:bidi="ar-DZ"/>
        </w:rPr>
        <w:t>وفضائله</w:t>
      </w:r>
      <w:proofErr w:type="gramEnd"/>
      <w:r w:rsidRPr="00A85510">
        <w:rPr>
          <w:rFonts w:ascii="Traditional Arabic" w:eastAsia="Calibri" w:hAnsi="Traditional Arabic" w:cs="Traditional Arabic" w:hint="cs"/>
          <w:sz w:val="32"/>
          <w:szCs w:val="32"/>
          <w:rtl/>
          <w:lang w:bidi="ar-DZ"/>
        </w:rPr>
        <w:t xml:space="preserve">. كانت حياته </w:t>
      </w:r>
      <w:proofErr w:type="gramStart"/>
      <w:r w:rsidRPr="00A85510">
        <w:rPr>
          <w:rFonts w:ascii="Traditional Arabic" w:eastAsia="Calibri" w:hAnsi="Traditional Arabic" w:cs="Traditional Arabic" w:hint="cs"/>
          <w:sz w:val="32"/>
          <w:szCs w:val="32"/>
          <w:rtl/>
          <w:lang w:bidi="ar-DZ"/>
        </w:rPr>
        <w:t>علما</w:t>
      </w:r>
      <w:proofErr w:type="gramEnd"/>
      <w:r w:rsidRPr="00A85510">
        <w:rPr>
          <w:rFonts w:ascii="Traditional Arabic" w:eastAsia="Calibri" w:hAnsi="Traditional Arabic" w:cs="Traditional Arabic" w:hint="cs"/>
          <w:sz w:val="32"/>
          <w:szCs w:val="32"/>
          <w:rtl/>
          <w:lang w:bidi="ar-DZ"/>
        </w:rPr>
        <w:t xml:space="preserve"> وسفرا وعبادة. عاد إلى طوس وتوفي بها سنة 505هـ. للغزالي مصنفات كثيرة منها: كتاب "الوسيط" و "البسيط" و "الوجيز" في الفقه، و"إحياء علوم الدين" و "المستصفى" في أصول الفقه و"تهافت الفلاسفة" و"المقصد الأنسى في أسماء الله الحسنى" وفضائح الباطنية وجواهر القرآن....</w:t>
      </w:r>
      <w:r w:rsidRPr="00A85510">
        <w:rPr>
          <w:rFonts w:ascii="Traditional Arabic" w:eastAsia="Calibri" w:hAnsi="Traditional Arabic" w:cs="Traditional Arabic"/>
          <w:sz w:val="32"/>
          <w:szCs w:val="32"/>
          <w:vertAlign w:val="superscript"/>
          <w:rtl/>
          <w:lang w:bidi="ar-DZ"/>
        </w:rPr>
        <w:footnoteReference w:id="1"/>
      </w:r>
    </w:p>
    <w:p w:rsidR="00A85510" w:rsidRPr="00A85510" w:rsidRDefault="00A85510" w:rsidP="00A85510">
      <w:pPr>
        <w:tabs>
          <w:tab w:val="right" w:pos="423"/>
          <w:tab w:val="right" w:pos="566"/>
          <w:tab w:val="right" w:pos="848"/>
          <w:tab w:val="right" w:pos="1273"/>
        </w:tabs>
        <w:bidi/>
        <w:spacing w:before="240" w:after="240"/>
        <w:ind w:hanging="2"/>
        <w:jc w:val="both"/>
        <w:rPr>
          <w:rFonts w:ascii="Traditional Arabic" w:eastAsia="Calibri" w:hAnsi="Traditional Arabic" w:cs="Traditional Arabic"/>
          <w:sz w:val="32"/>
          <w:szCs w:val="32"/>
          <w:rtl/>
          <w:lang w:bidi="ar-DZ"/>
        </w:rPr>
      </w:pPr>
      <w:r w:rsidRPr="00A85510">
        <w:rPr>
          <w:rFonts w:ascii="Traditional Arabic" w:eastAsia="Calibri" w:hAnsi="Traditional Arabic" w:cs="Traditional Arabic" w:hint="cs"/>
          <w:sz w:val="32"/>
          <w:szCs w:val="32"/>
          <w:rtl/>
          <w:lang w:bidi="ar-DZ"/>
        </w:rPr>
        <w:t>فكر الغزالي التربوي:</w:t>
      </w:r>
    </w:p>
    <w:p w:rsidR="00A85510" w:rsidRPr="00A85510" w:rsidRDefault="00A85510" w:rsidP="00A85510">
      <w:pPr>
        <w:numPr>
          <w:ilvl w:val="0"/>
          <w:numId w:val="1"/>
        </w:numPr>
        <w:tabs>
          <w:tab w:val="right" w:pos="423"/>
          <w:tab w:val="right" w:pos="566"/>
          <w:tab w:val="right" w:pos="848"/>
        </w:tabs>
        <w:bidi/>
        <w:spacing w:before="240" w:after="240" w:line="240" w:lineRule="auto"/>
        <w:ind w:left="-2"/>
        <w:jc w:val="both"/>
        <w:rPr>
          <w:rFonts w:ascii="Traditional Arabic" w:eastAsia="Calibri" w:hAnsi="Traditional Arabic" w:cs="Traditional Arabic"/>
          <w:sz w:val="32"/>
          <w:szCs w:val="32"/>
          <w:lang w:bidi="ar-DZ"/>
        </w:rPr>
      </w:pPr>
      <w:r w:rsidRPr="00A85510">
        <w:rPr>
          <w:rFonts w:ascii="Traditional Arabic" w:eastAsia="Calibri" w:hAnsi="Traditional Arabic" w:cs="Traditional Arabic" w:hint="cs"/>
          <w:b/>
          <w:bCs/>
          <w:sz w:val="32"/>
          <w:szCs w:val="32"/>
          <w:rtl/>
          <w:lang w:bidi="ar-DZ"/>
        </w:rPr>
        <w:t>العلم والتعليم:</w:t>
      </w:r>
      <w:r w:rsidRPr="00A85510">
        <w:rPr>
          <w:rFonts w:ascii="Traditional Arabic" w:eastAsia="Calibri" w:hAnsi="Traditional Arabic" w:cs="Traditional Arabic" w:hint="cs"/>
          <w:sz w:val="32"/>
          <w:szCs w:val="32"/>
          <w:rtl/>
          <w:lang w:bidi="ar-DZ"/>
        </w:rPr>
        <w:t xml:space="preserve"> اهتم الغزالي اهتماما شديدا بالعلم والتعليم لاعتقاده أن التعليم الصحيح يقرب الإنسان إلى الله ويمكنه من سعادة الدنيا والآخرة، ولهذا أعطى للمعلم مكانة رفيعة، واضعا ثقته في المعلم الصالح معتبرا إياه مرشدا ومهذبا قائلا "فاصل السعادة في الدنيا والآخرة هم العلم، فهو إذن أفضل الأعمال". يكسب صاحبه عزّا و وقارا ولزوم الاحترام وعلى الملوك نفوذ حكم </w:t>
      </w:r>
      <w:r w:rsidRPr="00A85510">
        <w:rPr>
          <w:rFonts w:ascii="Traditional Arabic" w:eastAsia="Calibri" w:hAnsi="Traditional Arabic" w:cs="Traditional Arabic"/>
          <w:sz w:val="32"/>
          <w:szCs w:val="32"/>
          <w:vertAlign w:val="superscript"/>
          <w:rtl/>
          <w:lang w:bidi="ar-DZ"/>
        </w:rPr>
        <w:footnoteReference w:id="2"/>
      </w:r>
      <w:r w:rsidRPr="00A85510">
        <w:rPr>
          <w:rFonts w:ascii="Traditional Arabic" w:eastAsia="Calibri" w:hAnsi="Traditional Arabic" w:cs="Traditional Arabic" w:hint="cs"/>
          <w:sz w:val="32"/>
          <w:szCs w:val="32"/>
          <w:rtl/>
          <w:lang w:bidi="ar-DZ"/>
        </w:rPr>
        <w:t>، مستدلا بمجموعة من الأدلة النقلية والأحاديث من السنة النبوية الشريفة يخرج منها باعتبار تعلم العلم فرض في جميع الحالات، فحياة القلب بالعلم وحياة البدن بالطعام والعلم معا، قال صلى الله عليه وسلم: "من كان حيا بالعلم لم يمت أبدا"</w:t>
      </w:r>
      <w:r w:rsidRPr="00A85510">
        <w:rPr>
          <w:rFonts w:ascii="Traditional Arabic" w:eastAsia="Calibri" w:hAnsi="Traditional Arabic" w:cs="Traditional Arabic"/>
          <w:sz w:val="32"/>
          <w:szCs w:val="32"/>
          <w:vertAlign w:val="superscript"/>
          <w:rtl/>
          <w:lang w:bidi="ar-DZ"/>
        </w:rPr>
        <w:footnoteReference w:id="3"/>
      </w:r>
      <w:r w:rsidRPr="00A85510">
        <w:rPr>
          <w:rFonts w:ascii="Traditional Arabic" w:eastAsia="Calibri" w:hAnsi="Traditional Arabic" w:cs="Traditional Arabic" w:hint="cs"/>
          <w:sz w:val="32"/>
          <w:szCs w:val="32"/>
          <w:rtl/>
          <w:lang w:bidi="ar-DZ"/>
        </w:rPr>
        <w:t>.</w:t>
      </w:r>
    </w:p>
    <w:p w:rsidR="00A85510" w:rsidRPr="00A85510" w:rsidRDefault="00A85510" w:rsidP="00A85510">
      <w:pPr>
        <w:tabs>
          <w:tab w:val="right" w:pos="423"/>
          <w:tab w:val="right" w:pos="566"/>
          <w:tab w:val="right" w:pos="848"/>
        </w:tabs>
        <w:bidi/>
        <w:spacing w:before="240" w:after="240"/>
        <w:ind w:left="-2" w:firstLine="425"/>
        <w:jc w:val="both"/>
        <w:rPr>
          <w:rFonts w:ascii="Traditional Arabic" w:eastAsia="Calibri" w:hAnsi="Traditional Arabic" w:cs="Traditional Arabic"/>
          <w:sz w:val="32"/>
          <w:szCs w:val="32"/>
          <w:lang w:bidi="ar-DZ"/>
        </w:rPr>
      </w:pPr>
      <w:proofErr w:type="gramStart"/>
      <w:r w:rsidRPr="00A85510">
        <w:rPr>
          <w:rFonts w:ascii="Traditional Arabic" w:eastAsia="Calibri" w:hAnsi="Traditional Arabic" w:cs="Traditional Arabic" w:hint="cs"/>
          <w:sz w:val="32"/>
          <w:szCs w:val="32"/>
          <w:rtl/>
          <w:lang w:bidi="ar-DZ"/>
        </w:rPr>
        <w:t>وشرف</w:t>
      </w:r>
      <w:proofErr w:type="gramEnd"/>
      <w:r w:rsidRPr="00A85510">
        <w:rPr>
          <w:rFonts w:ascii="Traditional Arabic" w:eastAsia="Calibri" w:hAnsi="Traditional Arabic" w:cs="Traditional Arabic" w:hint="cs"/>
          <w:sz w:val="32"/>
          <w:szCs w:val="32"/>
          <w:rtl/>
          <w:lang w:bidi="ar-DZ"/>
        </w:rPr>
        <w:t xml:space="preserve"> العلم كما يقول لا يخفى على أحد من ذوي العقول، مع أنه مختص بالإنسانية، لأن جميع الخصال سوى العلم يشترك فيه الإنسان وسائر الحيوانات. فقد قال عليه الصلاة والسلام: "</w:t>
      </w:r>
      <w:r w:rsidRPr="00A85510">
        <w:rPr>
          <w:rFonts w:ascii="Traditional Arabic" w:eastAsia="Calibri" w:hAnsi="Traditional Arabic" w:cs="Traditional Arabic" w:hint="cs"/>
          <w:color w:val="FF0000"/>
          <w:sz w:val="32"/>
          <w:szCs w:val="32"/>
          <w:rtl/>
          <w:lang w:bidi="ar-DZ"/>
        </w:rPr>
        <w:t>كن عالما أو متعلما ولا تكن ثالثا</w:t>
      </w:r>
      <w:r w:rsidRPr="00A85510">
        <w:rPr>
          <w:rFonts w:ascii="Traditional Arabic" w:eastAsia="Calibri" w:hAnsi="Traditional Arabic" w:cs="Traditional Arabic" w:hint="cs"/>
          <w:sz w:val="32"/>
          <w:szCs w:val="32"/>
          <w:rtl/>
          <w:lang w:bidi="ar-DZ"/>
        </w:rPr>
        <w:t xml:space="preserve">" </w:t>
      </w:r>
      <w:r w:rsidRPr="00A85510">
        <w:rPr>
          <w:rFonts w:ascii="Traditional Arabic" w:eastAsia="Calibri" w:hAnsi="Traditional Arabic" w:cs="Traditional Arabic"/>
          <w:sz w:val="32"/>
          <w:szCs w:val="32"/>
          <w:vertAlign w:val="superscript"/>
          <w:rtl/>
          <w:lang w:bidi="ar-DZ"/>
        </w:rPr>
        <w:footnoteReference w:id="4"/>
      </w:r>
      <w:r w:rsidRPr="00A85510">
        <w:rPr>
          <w:rFonts w:ascii="Traditional Arabic" w:eastAsia="Calibri" w:hAnsi="Traditional Arabic" w:cs="Traditional Arabic" w:hint="cs"/>
          <w:sz w:val="32"/>
          <w:szCs w:val="32"/>
          <w:rtl/>
          <w:lang w:bidi="ar-DZ"/>
        </w:rPr>
        <w:t xml:space="preserve">، ويلخص الغزالي هدفه التربوي في الكمال الإنساني الذي هو التقرب إلى الله وتحقيق السعادة، لأن إفادة العلم تهذب نفوس الناس عن الأخلاق المذمومة </w:t>
      </w:r>
      <w:proofErr w:type="spellStart"/>
      <w:r w:rsidRPr="00A85510">
        <w:rPr>
          <w:rFonts w:ascii="Traditional Arabic" w:eastAsia="Calibri" w:hAnsi="Traditional Arabic" w:cs="Traditional Arabic" w:hint="cs"/>
          <w:sz w:val="32"/>
          <w:szCs w:val="32"/>
          <w:rtl/>
          <w:lang w:bidi="ar-DZ"/>
        </w:rPr>
        <w:t>والمهلكية</w:t>
      </w:r>
      <w:proofErr w:type="spellEnd"/>
      <w:r w:rsidRPr="00A85510">
        <w:rPr>
          <w:rFonts w:ascii="Traditional Arabic" w:eastAsia="Calibri" w:hAnsi="Traditional Arabic" w:cs="Traditional Arabic" w:hint="cs"/>
          <w:sz w:val="32"/>
          <w:szCs w:val="32"/>
          <w:rtl/>
          <w:lang w:bidi="ar-DZ"/>
        </w:rPr>
        <w:t xml:space="preserve"> إلى الخلاق المسعدة، وهو المراد بالتعليم .ولا يقتصر </w:t>
      </w:r>
      <w:r w:rsidRPr="00A85510">
        <w:rPr>
          <w:rFonts w:ascii="Traditional Arabic" w:eastAsia="Calibri" w:hAnsi="Traditional Arabic" w:cs="Traditional Arabic" w:hint="cs"/>
          <w:sz w:val="32"/>
          <w:szCs w:val="32"/>
          <w:rtl/>
          <w:lang w:bidi="ar-DZ"/>
        </w:rPr>
        <w:lastRenderedPageBreak/>
        <w:t>الدور الديني للتربية والتعليم على كونها عبادة بل يتعدى ذلك إلى تحقيق استخلاف الإنسان في الأرض لأن الله تعالى وهب صفة من أخص صفاته للعلماء وهي العلم، وهم مأذونون للإنفاق من خزائنها لأنهم واسطة الله وخلقه.</w:t>
      </w:r>
      <w:r w:rsidRPr="00A85510">
        <w:rPr>
          <w:rFonts w:ascii="Traditional Arabic" w:eastAsia="Calibri" w:hAnsi="Traditional Arabic" w:cs="Traditional Arabic"/>
          <w:sz w:val="32"/>
          <w:szCs w:val="32"/>
          <w:vertAlign w:val="superscript"/>
          <w:rtl/>
          <w:lang w:bidi="ar-DZ"/>
        </w:rPr>
        <w:footnoteReference w:id="5"/>
      </w:r>
    </w:p>
    <w:p w:rsidR="00A85510" w:rsidRPr="00A85510" w:rsidRDefault="00A85510" w:rsidP="00A85510">
      <w:pPr>
        <w:numPr>
          <w:ilvl w:val="0"/>
          <w:numId w:val="1"/>
        </w:numPr>
        <w:tabs>
          <w:tab w:val="right" w:pos="423"/>
          <w:tab w:val="right" w:pos="566"/>
          <w:tab w:val="right" w:pos="848"/>
        </w:tabs>
        <w:bidi/>
        <w:spacing w:before="240" w:after="240" w:line="240" w:lineRule="auto"/>
        <w:ind w:left="-2"/>
        <w:jc w:val="both"/>
        <w:rPr>
          <w:rFonts w:ascii="Traditional Arabic" w:eastAsia="Calibri" w:hAnsi="Traditional Arabic" w:cs="Traditional Arabic"/>
          <w:sz w:val="32"/>
          <w:szCs w:val="32"/>
          <w:lang w:bidi="ar-DZ"/>
        </w:rPr>
      </w:pPr>
      <w:r w:rsidRPr="00A85510">
        <w:rPr>
          <w:rFonts w:ascii="Traditional Arabic" w:eastAsia="Calibri" w:hAnsi="Traditional Arabic" w:cs="Traditional Arabic" w:hint="cs"/>
          <w:b/>
          <w:bCs/>
          <w:sz w:val="32"/>
          <w:szCs w:val="32"/>
          <w:rtl/>
          <w:lang w:bidi="ar-DZ"/>
        </w:rPr>
        <w:t>علاقة التربية والعلم بالتفاعل الاجتماعي:</w:t>
      </w:r>
      <w:r w:rsidRPr="00A85510">
        <w:rPr>
          <w:rFonts w:ascii="Traditional Arabic" w:eastAsia="Calibri" w:hAnsi="Traditional Arabic" w:cs="Traditional Arabic" w:hint="cs"/>
          <w:sz w:val="32"/>
          <w:szCs w:val="32"/>
          <w:rtl/>
          <w:lang w:bidi="ar-DZ"/>
        </w:rPr>
        <w:t xml:space="preserve"> ينبه الغزالي إلى أهمية الأخذ من تجارب الآخرين في مجال التربية والاستفادة منها ويحصل ذلك عن طريق التفاعل الاجتماعي أو ما يسميه المخالطة والاحتكاك بهم سواء كانوا معلمين أو متعلمين، على اعتبار أن العزلة تحول بين الإنسان وطلب العلم، إذ لا تفيد في ذلك الكتب لوحدها لأن العلم كتاب وأستاذ ومن اعتزل حال بينه وبين القراءة وأنفق جل وقته متعبدا مرددا للأذكار والأوراد ففي مخالطة الناس فوائد تربوية منها الارتياض بما يقاسيه الناس وتحمل ظلمهم وأذاهم إذلالا للنفس وكبحا للشهوات لاسيما لمن لم تتهذب أخلاقه ولم تذعن نفسه لحدود الشرع. لقد فطن الغزالي إلى أن التفاعل الاجتماعي بين الفرد وأفراد المجتمع تعتبر وسيلة تكشف لهذا الفرد عيوبه التي لا يعرفها لو كان في عزلة كما تمكنه من تجاوز وحل بعض الأمراض أو العقد النفسية، ومتى تجاوز المرء عيوبه وتحرر منها شعر بالسعادة. </w:t>
      </w:r>
      <w:r w:rsidRPr="00A85510">
        <w:rPr>
          <w:rFonts w:ascii="Traditional Arabic" w:eastAsia="Calibri" w:hAnsi="Traditional Arabic" w:cs="Traditional Arabic"/>
          <w:sz w:val="32"/>
          <w:szCs w:val="32"/>
          <w:vertAlign w:val="superscript"/>
          <w:rtl/>
          <w:lang w:bidi="ar-DZ"/>
        </w:rPr>
        <w:footnoteReference w:id="6"/>
      </w:r>
    </w:p>
    <w:p w:rsidR="00A85510" w:rsidRPr="00A85510" w:rsidRDefault="00A85510" w:rsidP="00A85510">
      <w:pPr>
        <w:numPr>
          <w:ilvl w:val="0"/>
          <w:numId w:val="1"/>
        </w:numPr>
        <w:tabs>
          <w:tab w:val="right" w:pos="423"/>
          <w:tab w:val="right" w:pos="566"/>
          <w:tab w:val="right" w:pos="848"/>
        </w:tabs>
        <w:bidi/>
        <w:spacing w:before="240" w:after="240" w:line="240" w:lineRule="auto"/>
        <w:ind w:left="-2"/>
        <w:jc w:val="both"/>
        <w:rPr>
          <w:rFonts w:ascii="Traditional Arabic" w:eastAsia="Calibri" w:hAnsi="Traditional Arabic" w:cs="Traditional Arabic"/>
          <w:sz w:val="32"/>
          <w:szCs w:val="32"/>
          <w:lang w:bidi="ar-DZ"/>
        </w:rPr>
      </w:pPr>
      <w:r w:rsidRPr="00A85510">
        <w:rPr>
          <w:rFonts w:ascii="Traditional Arabic" w:eastAsia="Calibri" w:hAnsi="Traditional Arabic" w:cs="Traditional Arabic" w:hint="cs"/>
          <w:b/>
          <w:bCs/>
          <w:sz w:val="32"/>
          <w:szCs w:val="32"/>
          <w:rtl/>
          <w:lang w:bidi="ar-DZ"/>
        </w:rPr>
        <w:t>آداب التعلم وما ينبغي من أموره:</w:t>
      </w:r>
      <w:r w:rsidRPr="00A85510">
        <w:rPr>
          <w:rFonts w:ascii="Traditional Arabic" w:eastAsia="Calibri" w:hAnsi="Traditional Arabic" w:cs="Traditional Arabic" w:hint="cs"/>
          <w:sz w:val="32"/>
          <w:szCs w:val="32"/>
          <w:rtl/>
          <w:lang w:bidi="ar-DZ"/>
        </w:rPr>
        <w:t xml:space="preserve"> يرى الغزالي أن على الآباء تأديب أبنائهم وتربيتهم، فإذا ما بلغ الطفل أربعة أعوام وأربعة أشهر، وأربعة أيام وجب أرساله إلى المعلم، فإذا لم يحسن الأب تأديب ابنه، ولم يرسله إلى المعلم ظهرت آثار الانحراف في جميع أعضائه خصوصا في لسانه وفقد استعداده للعلم وغلبته المعاصي وأثر فيه الجهل، فيقع للأب ما يقع من سوء عمل ابنه، كما أن </w:t>
      </w:r>
      <w:proofErr w:type="spellStart"/>
      <w:r w:rsidRPr="00A85510">
        <w:rPr>
          <w:rFonts w:ascii="Traditional Arabic" w:eastAsia="Calibri" w:hAnsi="Traditional Arabic" w:cs="Traditional Arabic" w:hint="cs"/>
          <w:sz w:val="32"/>
          <w:szCs w:val="32"/>
          <w:rtl/>
          <w:lang w:bidi="ar-DZ"/>
        </w:rPr>
        <w:t>الإبن</w:t>
      </w:r>
      <w:proofErr w:type="spellEnd"/>
      <w:r w:rsidRPr="00A85510">
        <w:rPr>
          <w:rFonts w:ascii="Traditional Arabic" w:eastAsia="Calibri" w:hAnsi="Traditional Arabic" w:cs="Traditional Arabic" w:hint="cs"/>
          <w:sz w:val="32"/>
          <w:szCs w:val="32"/>
          <w:rtl/>
          <w:lang w:bidi="ar-DZ"/>
        </w:rPr>
        <w:t xml:space="preserve"> يولد على الإسلام وعلى القابلية للعم والسعادة الدينية والدنيوية فإذا زالت عنه، كان أبواه سببا في ذلك. </w:t>
      </w:r>
      <w:proofErr w:type="gramStart"/>
      <w:r w:rsidRPr="00A85510">
        <w:rPr>
          <w:rFonts w:ascii="Traditional Arabic" w:eastAsia="Calibri" w:hAnsi="Traditional Arabic" w:cs="Traditional Arabic" w:hint="cs"/>
          <w:sz w:val="32"/>
          <w:szCs w:val="32"/>
          <w:rtl/>
          <w:lang w:bidi="ar-DZ"/>
        </w:rPr>
        <w:t>وكل</w:t>
      </w:r>
      <w:proofErr w:type="gramEnd"/>
      <w:r w:rsidRPr="00A85510">
        <w:rPr>
          <w:rFonts w:ascii="Traditional Arabic" w:eastAsia="Calibri" w:hAnsi="Traditional Arabic" w:cs="Traditional Arabic" w:hint="cs"/>
          <w:sz w:val="32"/>
          <w:szCs w:val="32"/>
          <w:rtl/>
          <w:lang w:bidi="ar-DZ"/>
        </w:rPr>
        <w:t xml:space="preserve"> والد عليه أن يعوّد لسان ولده على الكلام الطيب والألفاظ المهذبة، ويبعده عن الكلام الفاحش المبتذل.</w:t>
      </w:r>
    </w:p>
    <w:p w:rsidR="00A85510" w:rsidRPr="00A85510" w:rsidRDefault="00A85510" w:rsidP="00A85510">
      <w:pPr>
        <w:tabs>
          <w:tab w:val="right" w:pos="423"/>
          <w:tab w:val="right" w:pos="566"/>
          <w:tab w:val="right" w:pos="848"/>
        </w:tabs>
        <w:bidi/>
        <w:spacing w:before="240" w:after="240"/>
        <w:ind w:left="-2" w:firstLine="425"/>
        <w:jc w:val="both"/>
        <w:rPr>
          <w:rFonts w:ascii="Traditional Arabic" w:eastAsia="Calibri" w:hAnsi="Traditional Arabic" w:cs="Traditional Arabic"/>
          <w:sz w:val="32"/>
          <w:szCs w:val="32"/>
          <w:rtl/>
          <w:lang w:bidi="ar-DZ"/>
        </w:rPr>
      </w:pPr>
      <w:proofErr w:type="gramStart"/>
      <w:r w:rsidRPr="00A85510">
        <w:rPr>
          <w:rFonts w:ascii="Traditional Arabic" w:eastAsia="Calibri" w:hAnsi="Traditional Arabic" w:cs="Traditional Arabic" w:hint="cs"/>
          <w:sz w:val="32"/>
          <w:szCs w:val="32"/>
          <w:rtl/>
          <w:lang w:bidi="ar-DZ"/>
        </w:rPr>
        <w:t>وعلى</w:t>
      </w:r>
      <w:proofErr w:type="gramEnd"/>
      <w:r w:rsidRPr="00A85510">
        <w:rPr>
          <w:rFonts w:ascii="Traditional Arabic" w:eastAsia="Calibri" w:hAnsi="Traditional Arabic" w:cs="Traditional Arabic" w:hint="cs"/>
          <w:sz w:val="32"/>
          <w:szCs w:val="32"/>
          <w:rtl/>
          <w:lang w:bidi="ar-DZ"/>
        </w:rPr>
        <w:t xml:space="preserve"> المتعلم امتثال أوامر أستاذه وتعظيم العلم وأهله وكذلك أستاذه وهذا أمر يمكنه من نيل العلم، فيتواضع له ويخدمه ويدعو له ويقدم حقه على حق سائر المسلمين كما يجب أن يكون كريما معه جادا لا يلعب أو يضحك أثناء سماع العلم.</w:t>
      </w:r>
      <w:r w:rsidRPr="00A85510">
        <w:rPr>
          <w:rFonts w:ascii="Traditional Arabic" w:eastAsia="Calibri" w:hAnsi="Traditional Arabic" w:cs="Traditional Arabic"/>
          <w:sz w:val="32"/>
          <w:szCs w:val="32"/>
          <w:vertAlign w:val="superscript"/>
          <w:rtl/>
          <w:lang w:bidi="ar-DZ"/>
        </w:rPr>
        <w:footnoteReference w:id="7"/>
      </w:r>
    </w:p>
    <w:p w:rsidR="00D83696" w:rsidRDefault="00D83696" w:rsidP="00A85510">
      <w:pPr>
        <w:bidi/>
        <w:rPr>
          <w:lang w:bidi="ar-DZ"/>
        </w:rPr>
      </w:pPr>
    </w:p>
    <w:sectPr w:rsidR="00D83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B0" w:rsidRDefault="002D58B0" w:rsidP="00A85510">
      <w:pPr>
        <w:spacing w:after="0" w:line="240" w:lineRule="auto"/>
      </w:pPr>
      <w:r>
        <w:separator/>
      </w:r>
    </w:p>
  </w:endnote>
  <w:endnote w:type="continuationSeparator" w:id="0">
    <w:p w:rsidR="002D58B0" w:rsidRDefault="002D58B0" w:rsidP="00A8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B0" w:rsidRDefault="002D58B0" w:rsidP="00A85510">
      <w:pPr>
        <w:spacing w:after="0" w:line="240" w:lineRule="auto"/>
      </w:pPr>
      <w:r>
        <w:separator/>
      </w:r>
    </w:p>
  </w:footnote>
  <w:footnote w:type="continuationSeparator" w:id="0">
    <w:p w:rsidR="002D58B0" w:rsidRDefault="002D58B0" w:rsidP="00A85510">
      <w:pPr>
        <w:spacing w:after="0" w:line="240" w:lineRule="auto"/>
      </w:pPr>
      <w:r>
        <w:continuationSeparator/>
      </w:r>
    </w:p>
  </w:footnote>
  <w:footnote w:id="1">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أبو حامد</w:t>
      </w:r>
      <w:r>
        <w:rPr>
          <w:rFonts w:hint="cs"/>
          <w:rtl/>
          <w:lang w:bidi="ar-DZ"/>
        </w:rPr>
        <w:t xml:space="preserve"> الغزالي الطوسي: </w:t>
      </w:r>
    </w:p>
  </w:footnote>
  <w:footnote w:id="2">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أحمد</w:t>
      </w:r>
      <w:proofErr w:type="gramEnd"/>
      <w:r>
        <w:rPr>
          <w:rFonts w:hint="cs"/>
          <w:rtl/>
          <w:lang w:bidi="ar-DZ"/>
        </w:rPr>
        <w:t xml:space="preserve"> عرفات القا</w:t>
      </w:r>
      <w:r>
        <w:rPr>
          <w:rFonts w:hint="cs"/>
          <w:rtl/>
          <w:lang w:bidi="ar-DZ"/>
        </w:rPr>
        <w:t xml:space="preserve">ضي: التربية </w:t>
      </w:r>
    </w:p>
  </w:footnote>
  <w:footnote w:id="3">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أبو حامد الغزالي: </w:t>
      </w:r>
      <w:r>
        <w:rPr>
          <w:rFonts w:hint="cs"/>
          <w:rtl/>
          <w:lang w:bidi="ar-DZ"/>
        </w:rPr>
        <w:t>منهاج المتعلم</w:t>
      </w:r>
    </w:p>
  </w:footnote>
  <w:footnote w:id="4">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المرجع</w:t>
      </w:r>
      <w:proofErr w:type="gramEnd"/>
      <w:r>
        <w:rPr>
          <w:rFonts w:hint="cs"/>
          <w:rtl/>
          <w:lang w:bidi="ar-DZ"/>
        </w:rPr>
        <w:t xml:space="preserve"> نفسه، ص 40.</w:t>
      </w:r>
    </w:p>
  </w:footnote>
  <w:footnote w:id="5">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أحمد</w:t>
      </w:r>
      <w:proofErr w:type="gramEnd"/>
      <w:r>
        <w:rPr>
          <w:rFonts w:hint="cs"/>
          <w:rtl/>
          <w:lang w:bidi="ar-DZ"/>
        </w:rPr>
        <w:t xml:space="preserve"> عرفات ال</w:t>
      </w:r>
      <w:r>
        <w:rPr>
          <w:rFonts w:hint="cs"/>
          <w:rtl/>
          <w:lang w:bidi="ar-DZ"/>
        </w:rPr>
        <w:t>قاضي،</w:t>
      </w:r>
    </w:p>
  </w:footnote>
  <w:footnote w:id="6">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w:t>
      </w:r>
      <w:proofErr w:type="gramStart"/>
      <w:r>
        <w:rPr>
          <w:rFonts w:hint="cs"/>
          <w:rtl/>
          <w:lang w:bidi="ar-DZ"/>
        </w:rPr>
        <w:t>المرجع</w:t>
      </w:r>
      <w:proofErr w:type="gramEnd"/>
      <w:r>
        <w:rPr>
          <w:rFonts w:hint="cs"/>
          <w:rtl/>
          <w:lang w:bidi="ar-DZ"/>
        </w:rPr>
        <w:t xml:space="preserve"> نفسه، ص، ص 43، 44.</w:t>
      </w:r>
    </w:p>
  </w:footnote>
  <w:footnote w:id="7">
    <w:p w:rsidR="00A85510" w:rsidRDefault="00A85510" w:rsidP="00A85510">
      <w:pPr>
        <w:pStyle w:val="Notedebasdepage"/>
        <w:bidi/>
        <w:rPr>
          <w:lang w:bidi="ar-DZ"/>
        </w:rPr>
      </w:pPr>
      <w:r>
        <w:rPr>
          <w:rStyle w:val="Appelnotedebasdep"/>
        </w:rPr>
        <w:footnoteRef/>
      </w:r>
      <w:r>
        <w:rPr>
          <w:rtl/>
        </w:rPr>
        <w:t xml:space="preserve"> </w:t>
      </w:r>
      <w:r>
        <w:rPr>
          <w:rFonts w:hint="cs"/>
          <w:rtl/>
          <w:lang w:bidi="ar-DZ"/>
        </w:rPr>
        <w:t xml:space="preserve">- أبو حامد الغزالي: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6D52"/>
    <w:multiLevelType w:val="hybridMultilevel"/>
    <w:tmpl w:val="71E8385C"/>
    <w:lvl w:ilvl="0" w:tplc="C7083AB4">
      <w:start w:val="1"/>
      <w:numFmt w:val="decimal"/>
      <w:lvlText w:val="%1-"/>
      <w:lvlJc w:val="left"/>
      <w:pPr>
        <w:ind w:left="1143" w:hanging="72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10"/>
    <w:rsid w:val="002D58B0"/>
    <w:rsid w:val="00A85510"/>
    <w:rsid w:val="00D836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855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5510"/>
    <w:rPr>
      <w:sz w:val="20"/>
      <w:szCs w:val="20"/>
    </w:rPr>
  </w:style>
  <w:style w:type="character" w:styleId="Appelnotedebasdep">
    <w:name w:val="footnote reference"/>
    <w:basedOn w:val="Policepardfaut"/>
    <w:uiPriority w:val="99"/>
    <w:semiHidden/>
    <w:unhideWhenUsed/>
    <w:rsid w:val="00A85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855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5510"/>
    <w:rPr>
      <w:sz w:val="20"/>
      <w:szCs w:val="20"/>
    </w:rPr>
  </w:style>
  <w:style w:type="character" w:styleId="Appelnotedebasdep">
    <w:name w:val="footnote reference"/>
    <w:basedOn w:val="Policepardfaut"/>
    <w:uiPriority w:val="99"/>
    <w:semiHidden/>
    <w:unhideWhenUsed/>
    <w:rsid w:val="00A8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2023-05-02T19:50:00Z</dcterms:created>
  <dcterms:modified xsi:type="dcterms:W3CDTF">2023-05-02T19:54:00Z</dcterms:modified>
</cp:coreProperties>
</file>