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03" w:rsidRDefault="00527803" w:rsidP="00527803">
      <w:pPr>
        <w:pStyle w:val="Titre2"/>
        <w:bidi/>
        <w:jc w:val="center"/>
        <w:rPr>
          <w:rFonts w:asciiTheme="majorBidi" w:hAnsiTheme="majorBidi" w:cstheme="majorBidi"/>
          <w:sz w:val="28"/>
          <w:szCs w:val="28"/>
          <w:rtl/>
        </w:rPr>
      </w:pPr>
      <w:r>
        <w:rPr>
          <w:rFonts w:asciiTheme="majorBidi" w:hAnsiTheme="majorBidi" w:cstheme="majorBidi" w:hint="cs"/>
          <w:sz w:val="28"/>
          <w:szCs w:val="28"/>
          <w:rtl/>
        </w:rPr>
        <w:t>المفوضية السامية لحقوق الإنسان التابعة للأمم المتحدة</w:t>
      </w:r>
    </w:p>
    <w:p w:rsidR="0078587C" w:rsidRPr="0078587C" w:rsidRDefault="0078587C" w:rsidP="00527803">
      <w:pPr>
        <w:pStyle w:val="Titre2"/>
        <w:bidi/>
        <w:jc w:val="both"/>
        <w:rPr>
          <w:rFonts w:asciiTheme="majorBidi" w:hAnsiTheme="majorBidi" w:cstheme="majorBidi"/>
          <w:sz w:val="28"/>
          <w:szCs w:val="28"/>
        </w:rPr>
      </w:pPr>
      <w:r>
        <w:rPr>
          <w:rFonts w:asciiTheme="majorBidi" w:hAnsiTheme="majorBidi" w:cstheme="majorBidi" w:hint="cs"/>
          <w:sz w:val="28"/>
          <w:szCs w:val="28"/>
          <w:rtl/>
        </w:rPr>
        <w:t>المفوضية السامية لحقوق الإنسان:</w:t>
      </w:r>
      <w:r w:rsidRPr="0078587C">
        <w:rPr>
          <w:rFonts w:asciiTheme="majorBidi" w:hAnsiTheme="majorBidi" w:cstheme="majorBidi"/>
          <w:sz w:val="28"/>
          <w:szCs w:val="28"/>
          <w:rtl/>
        </w:rPr>
        <w:t xml:space="preserve"> </w:t>
      </w:r>
      <w:proofErr w:type="gramStart"/>
      <w:r w:rsidRPr="0078587C">
        <w:rPr>
          <w:rFonts w:asciiTheme="majorBidi" w:hAnsiTheme="majorBidi" w:cstheme="majorBidi"/>
          <w:sz w:val="28"/>
          <w:szCs w:val="28"/>
          <w:rtl/>
        </w:rPr>
        <w:t>لمحة</w:t>
      </w:r>
      <w:proofErr w:type="gramEnd"/>
      <w:r w:rsidRPr="0078587C">
        <w:rPr>
          <w:rFonts w:asciiTheme="majorBidi" w:hAnsiTheme="majorBidi" w:cstheme="majorBidi"/>
          <w:sz w:val="28"/>
          <w:szCs w:val="28"/>
          <w:rtl/>
        </w:rPr>
        <w:t xml:space="preserve"> عامة</w:t>
      </w:r>
    </w:p>
    <w:p w:rsidR="0078587C" w:rsidRPr="0078587C" w:rsidRDefault="0078587C" w:rsidP="0078587C">
      <w:pPr>
        <w:pStyle w:val="NormalWeb"/>
        <w:bidi/>
        <w:ind w:firstLine="708"/>
        <w:jc w:val="both"/>
        <w:rPr>
          <w:rFonts w:asciiTheme="majorBidi" w:hAnsiTheme="majorBidi" w:cstheme="majorBidi"/>
          <w:sz w:val="28"/>
          <w:szCs w:val="28"/>
        </w:rPr>
      </w:pPr>
      <w:r w:rsidRPr="0078587C">
        <w:rPr>
          <w:rFonts w:asciiTheme="majorBidi" w:hAnsiTheme="majorBidi" w:cstheme="majorBidi"/>
          <w:sz w:val="28"/>
          <w:szCs w:val="28"/>
          <w:rtl/>
        </w:rPr>
        <w:t xml:space="preserve">إنّ مفوضيّة الأمم المتّحدة السامية لحقوق الإنسان </w:t>
      </w:r>
      <w:proofErr w:type="gramStart"/>
      <w:r w:rsidRPr="0078587C">
        <w:rPr>
          <w:rFonts w:asciiTheme="majorBidi" w:hAnsiTheme="majorBidi" w:cstheme="majorBidi"/>
          <w:sz w:val="28"/>
          <w:szCs w:val="28"/>
          <w:rtl/>
        </w:rPr>
        <w:t>هي</w:t>
      </w:r>
      <w:proofErr w:type="gramEnd"/>
      <w:r w:rsidRPr="0078587C">
        <w:rPr>
          <w:rFonts w:asciiTheme="majorBidi" w:hAnsiTheme="majorBidi" w:cstheme="majorBidi"/>
          <w:sz w:val="28"/>
          <w:szCs w:val="28"/>
          <w:rtl/>
        </w:rPr>
        <w:t xml:space="preserve"> </w:t>
      </w:r>
      <w:r w:rsidRPr="0078587C">
        <w:rPr>
          <w:rStyle w:val="lev"/>
          <w:rFonts w:asciiTheme="majorBidi" w:hAnsiTheme="majorBidi" w:cstheme="majorBidi"/>
          <w:sz w:val="28"/>
          <w:szCs w:val="28"/>
          <w:rtl/>
        </w:rPr>
        <w:t>الهيئة الأساسية التابعة للأمم المتّحدة المعنيّة بحقوق الإنسان</w:t>
      </w:r>
      <w:r w:rsidRPr="0078587C">
        <w:rPr>
          <w:rFonts w:asciiTheme="majorBidi" w:hAnsiTheme="majorBidi" w:cstheme="majorBidi"/>
          <w:sz w:val="28"/>
          <w:szCs w:val="28"/>
        </w:rPr>
        <w:t xml:space="preserve">. </w:t>
      </w:r>
      <w:r w:rsidRPr="0078587C">
        <w:rPr>
          <w:rFonts w:asciiTheme="majorBidi" w:hAnsiTheme="majorBidi" w:cstheme="majorBidi"/>
          <w:sz w:val="28"/>
          <w:szCs w:val="28"/>
          <w:rtl/>
        </w:rPr>
        <w:t xml:space="preserve">وهي </w:t>
      </w:r>
      <w:proofErr w:type="gramStart"/>
      <w:r w:rsidRPr="0078587C">
        <w:rPr>
          <w:rFonts w:asciiTheme="majorBidi" w:hAnsiTheme="majorBidi" w:cstheme="majorBidi"/>
          <w:sz w:val="28"/>
          <w:szCs w:val="28"/>
          <w:rtl/>
        </w:rPr>
        <w:t>تجسّد</w:t>
      </w:r>
      <w:proofErr w:type="gramEnd"/>
      <w:r w:rsidRPr="0078587C">
        <w:rPr>
          <w:rFonts w:asciiTheme="majorBidi" w:hAnsiTheme="majorBidi" w:cstheme="majorBidi"/>
          <w:sz w:val="28"/>
          <w:szCs w:val="28"/>
          <w:rtl/>
        </w:rPr>
        <w:t xml:space="preserve"> التزام العالم بتعزيز وحماية المجموعة الكاملة لحقوق الإنسان والحريات المنصوص عليها في </w:t>
      </w:r>
      <w:hyperlink r:id="rId9" w:history="1">
        <w:r w:rsidRPr="0078587C">
          <w:rPr>
            <w:rStyle w:val="Lienhypertexte"/>
            <w:rFonts w:asciiTheme="majorBidi" w:hAnsiTheme="majorBidi" w:cstheme="majorBidi"/>
            <w:color w:val="auto"/>
            <w:sz w:val="28"/>
            <w:szCs w:val="28"/>
            <w:rtl/>
          </w:rPr>
          <w:t>الإعلان العالمي لحقوق الإنسان</w:t>
        </w:r>
      </w:hyperlink>
      <w:r w:rsidRPr="0078587C">
        <w:rPr>
          <w:rFonts w:asciiTheme="majorBidi" w:hAnsiTheme="majorBidi" w:cstheme="majorBidi"/>
          <w:sz w:val="28"/>
          <w:szCs w:val="28"/>
        </w:rPr>
        <w:t>.</w:t>
      </w:r>
    </w:p>
    <w:p w:rsidR="0078587C" w:rsidRPr="0078587C" w:rsidRDefault="0078587C" w:rsidP="0078587C">
      <w:pPr>
        <w:pStyle w:val="NormalWeb"/>
        <w:bidi/>
        <w:jc w:val="both"/>
        <w:rPr>
          <w:rFonts w:asciiTheme="majorBidi" w:hAnsiTheme="majorBidi" w:cstheme="majorBidi"/>
          <w:sz w:val="28"/>
          <w:szCs w:val="28"/>
        </w:rPr>
      </w:pPr>
      <w:proofErr w:type="gramStart"/>
      <w:r w:rsidRPr="0078587C">
        <w:rPr>
          <w:rFonts w:asciiTheme="majorBidi" w:hAnsiTheme="majorBidi" w:cstheme="majorBidi"/>
          <w:sz w:val="28"/>
          <w:szCs w:val="28"/>
          <w:rtl/>
        </w:rPr>
        <w:t>ولكلّ</w:t>
      </w:r>
      <w:proofErr w:type="gramEnd"/>
      <w:r w:rsidRPr="0078587C">
        <w:rPr>
          <w:rFonts w:asciiTheme="majorBidi" w:hAnsiTheme="majorBidi" w:cstheme="majorBidi"/>
          <w:sz w:val="28"/>
          <w:szCs w:val="28"/>
          <w:rtl/>
        </w:rPr>
        <w:t xml:space="preserve"> من </w:t>
      </w:r>
      <w:hyperlink r:id="rId10" w:history="1">
        <w:r w:rsidRPr="0078587C">
          <w:rPr>
            <w:rStyle w:val="Lienhypertexte"/>
            <w:rFonts w:asciiTheme="majorBidi" w:hAnsiTheme="majorBidi" w:cstheme="majorBidi"/>
            <w:color w:val="auto"/>
            <w:sz w:val="28"/>
            <w:szCs w:val="28"/>
            <w:rtl/>
          </w:rPr>
          <w:t>المفوض السامي</w:t>
        </w:r>
      </w:hyperlink>
      <w:r w:rsidRPr="0078587C">
        <w:rPr>
          <w:rFonts w:asciiTheme="majorBidi" w:hAnsiTheme="majorBidi" w:cstheme="majorBidi"/>
          <w:sz w:val="28"/>
          <w:szCs w:val="28"/>
        </w:rPr>
        <w:t xml:space="preserve"> </w:t>
      </w:r>
      <w:r w:rsidRPr="0078587C">
        <w:rPr>
          <w:rFonts w:asciiTheme="majorBidi" w:hAnsiTheme="majorBidi" w:cstheme="majorBidi"/>
          <w:sz w:val="28"/>
          <w:szCs w:val="28"/>
          <w:rtl/>
        </w:rPr>
        <w:t>والمفوضية ولاية فريدة تقضي</w:t>
      </w:r>
      <w:r w:rsidRPr="0078587C">
        <w:rPr>
          <w:rFonts w:asciiTheme="majorBidi" w:hAnsiTheme="majorBidi" w:cstheme="majorBidi"/>
          <w:sz w:val="28"/>
          <w:szCs w:val="28"/>
        </w:rPr>
        <w:t xml:space="preserve">: </w:t>
      </w:r>
    </w:p>
    <w:p w:rsidR="0078587C" w:rsidRPr="0078587C" w:rsidRDefault="0078587C" w:rsidP="0078587C">
      <w:pPr>
        <w:numPr>
          <w:ilvl w:val="0"/>
          <w:numId w:val="10"/>
        </w:numPr>
        <w:bidi/>
        <w:spacing w:before="100" w:beforeAutospacing="1" w:after="100" w:afterAutospacing="1" w:line="240" w:lineRule="auto"/>
        <w:jc w:val="both"/>
        <w:rPr>
          <w:rFonts w:asciiTheme="majorBidi" w:hAnsiTheme="majorBidi" w:cstheme="majorBidi"/>
          <w:sz w:val="28"/>
          <w:szCs w:val="28"/>
        </w:rPr>
      </w:pPr>
      <w:proofErr w:type="gramStart"/>
      <w:r w:rsidRPr="0078587C">
        <w:rPr>
          <w:rStyle w:val="lev"/>
          <w:rFonts w:asciiTheme="majorBidi" w:hAnsiTheme="majorBidi" w:cstheme="majorBidi"/>
          <w:sz w:val="28"/>
          <w:szCs w:val="28"/>
          <w:rtl/>
        </w:rPr>
        <w:t>بتعزيز</w:t>
      </w:r>
      <w:proofErr w:type="gramEnd"/>
      <w:r w:rsidRPr="0078587C">
        <w:rPr>
          <w:rStyle w:val="lev"/>
          <w:rFonts w:asciiTheme="majorBidi" w:hAnsiTheme="majorBidi" w:cstheme="majorBidi"/>
          <w:sz w:val="28"/>
          <w:szCs w:val="28"/>
          <w:rtl/>
        </w:rPr>
        <w:t xml:space="preserve"> حقوق الإنسان وحمايتها للجميع</w:t>
      </w:r>
      <w:r w:rsidRPr="0078587C">
        <w:rPr>
          <w:rFonts w:asciiTheme="majorBidi" w:hAnsiTheme="majorBidi" w:cstheme="majorBidi"/>
          <w:sz w:val="28"/>
          <w:szCs w:val="28"/>
        </w:rPr>
        <w:t xml:space="preserve">: </w:t>
      </w:r>
      <w:r>
        <w:rPr>
          <w:rFonts w:asciiTheme="majorBidi" w:hAnsiTheme="majorBidi" w:cstheme="majorBidi" w:hint="cs"/>
          <w:sz w:val="28"/>
          <w:szCs w:val="28"/>
          <w:rtl/>
        </w:rPr>
        <w:t>ت</w:t>
      </w:r>
      <w:r w:rsidRPr="0078587C">
        <w:rPr>
          <w:rFonts w:asciiTheme="majorBidi" w:hAnsiTheme="majorBidi" w:cstheme="majorBidi"/>
          <w:sz w:val="28"/>
          <w:szCs w:val="28"/>
          <w:rtl/>
        </w:rPr>
        <w:t xml:space="preserve">عبّر عن </w:t>
      </w:r>
      <w:r>
        <w:rPr>
          <w:rFonts w:asciiTheme="majorBidi" w:hAnsiTheme="majorBidi" w:cstheme="majorBidi"/>
          <w:sz w:val="28"/>
          <w:szCs w:val="28"/>
          <w:rtl/>
        </w:rPr>
        <w:t>رأي</w:t>
      </w:r>
      <w:r>
        <w:rPr>
          <w:rFonts w:asciiTheme="majorBidi" w:hAnsiTheme="majorBidi" w:cstheme="majorBidi" w:hint="cs"/>
          <w:sz w:val="28"/>
          <w:szCs w:val="28"/>
          <w:rtl/>
        </w:rPr>
        <w:t>ها</w:t>
      </w:r>
      <w:r w:rsidRPr="0078587C">
        <w:rPr>
          <w:rFonts w:asciiTheme="majorBidi" w:hAnsiTheme="majorBidi" w:cstheme="majorBidi"/>
          <w:sz w:val="28"/>
          <w:szCs w:val="28"/>
          <w:rtl/>
        </w:rPr>
        <w:t xml:space="preserve"> بموضوعيّة في </w:t>
      </w:r>
      <w:r>
        <w:rPr>
          <w:rFonts w:asciiTheme="majorBidi" w:hAnsiTheme="majorBidi" w:cstheme="majorBidi"/>
          <w:sz w:val="28"/>
          <w:szCs w:val="28"/>
          <w:rtl/>
        </w:rPr>
        <w:t>مواجهة انتهاكات حقوق الإنسان، و</w:t>
      </w:r>
      <w:r>
        <w:rPr>
          <w:rFonts w:asciiTheme="majorBidi" w:hAnsiTheme="majorBidi" w:cstheme="majorBidi" w:hint="cs"/>
          <w:sz w:val="28"/>
          <w:szCs w:val="28"/>
          <w:rtl/>
        </w:rPr>
        <w:t>ت</w:t>
      </w:r>
      <w:r w:rsidRPr="0078587C">
        <w:rPr>
          <w:rFonts w:asciiTheme="majorBidi" w:hAnsiTheme="majorBidi" w:cstheme="majorBidi"/>
          <w:sz w:val="28"/>
          <w:szCs w:val="28"/>
          <w:rtl/>
        </w:rPr>
        <w:t>ساعد في تحديد المعايير المستخدمة لتقييم التقدم المُحرَز في مجال حقوق الإنسان في جميع أنحاء العالم</w:t>
      </w:r>
      <w:r w:rsidRPr="0078587C">
        <w:rPr>
          <w:rFonts w:asciiTheme="majorBidi" w:hAnsiTheme="majorBidi" w:cstheme="majorBidi"/>
          <w:sz w:val="28"/>
          <w:szCs w:val="28"/>
        </w:rPr>
        <w:t>.</w:t>
      </w:r>
    </w:p>
    <w:p w:rsidR="0078587C" w:rsidRPr="0078587C" w:rsidRDefault="0078587C" w:rsidP="0078587C">
      <w:pPr>
        <w:numPr>
          <w:ilvl w:val="0"/>
          <w:numId w:val="10"/>
        </w:numPr>
        <w:bidi/>
        <w:spacing w:before="100" w:beforeAutospacing="1" w:after="100" w:afterAutospacing="1" w:line="240" w:lineRule="auto"/>
        <w:jc w:val="both"/>
        <w:rPr>
          <w:rFonts w:asciiTheme="majorBidi" w:hAnsiTheme="majorBidi" w:cstheme="majorBidi"/>
          <w:sz w:val="28"/>
          <w:szCs w:val="28"/>
        </w:rPr>
      </w:pPr>
      <w:proofErr w:type="gramStart"/>
      <w:r w:rsidRPr="0078587C">
        <w:rPr>
          <w:rStyle w:val="lev"/>
          <w:rFonts w:asciiTheme="majorBidi" w:hAnsiTheme="majorBidi" w:cstheme="majorBidi"/>
          <w:sz w:val="28"/>
          <w:szCs w:val="28"/>
          <w:rtl/>
        </w:rPr>
        <w:t>المساهمة</w:t>
      </w:r>
      <w:proofErr w:type="gramEnd"/>
      <w:r w:rsidRPr="0078587C">
        <w:rPr>
          <w:rStyle w:val="lev"/>
          <w:rFonts w:asciiTheme="majorBidi" w:hAnsiTheme="majorBidi" w:cstheme="majorBidi"/>
          <w:sz w:val="28"/>
          <w:szCs w:val="28"/>
          <w:rtl/>
        </w:rPr>
        <w:t xml:space="preserve"> في تمكين الشعوب</w:t>
      </w:r>
      <w:r w:rsidRPr="0078587C">
        <w:rPr>
          <w:rFonts w:asciiTheme="majorBidi" w:hAnsiTheme="majorBidi" w:cstheme="majorBidi"/>
          <w:sz w:val="28"/>
          <w:szCs w:val="28"/>
        </w:rPr>
        <w:t xml:space="preserve">: </w:t>
      </w:r>
      <w:r>
        <w:rPr>
          <w:rFonts w:asciiTheme="majorBidi" w:hAnsiTheme="majorBidi" w:cstheme="majorBidi"/>
          <w:sz w:val="28"/>
          <w:szCs w:val="28"/>
          <w:rtl/>
        </w:rPr>
        <w:t>تساهم أنشطت</w:t>
      </w:r>
      <w:r>
        <w:rPr>
          <w:rFonts w:asciiTheme="majorBidi" w:hAnsiTheme="majorBidi" w:cstheme="majorBidi" w:hint="cs"/>
          <w:sz w:val="28"/>
          <w:szCs w:val="28"/>
          <w:rtl/>
        </w:rPr>
        <w:t>ه</w:t>
      </w:r>
      <w:r w:rsidRPr="0078587C">
        <w:rPr>
          <w:rFonts w:asciiTheme="majorBidi" w:hAnsiTheme="majorBidi" w:cstheme="majorBidi"/>
          <w:sz w:val="28"/>
          <w:szCs w:val="28"/>
          <w:rtl/>
        </w:rPr>
        <w:t xml:space="preserve">ا في مجال الأبحاث والتثقيف والمناصرة في توعية المجتمع الدولي والرأي العام على قضايا حقوق الإنسان وزيادة الانخراط فيها. ما يعني </w:t>
      </w:r>
      <w:proofErr w:type="gramStart"/>
      <w:r w:rsidRPr="0078587C">
        <w:rPr>
          <w:rFonts w:asciiTheme="majorBidi" w:hAnsiTheme="majorBidi" w:cstheme="majorBidi"/>
          <w:sz w:val="28"/>
          <w:szCs w:val="28"/>
          <w:rtl/>
        </w:rPr>
        <w:t>تمكين</w:t>
      </w:r>
      <w:proofErr w:type="gramEnd"/>
      <w:r w:rsidRPr="0078587C">
        <w:rPr>
          <w:rFonts w:asciiTheme="majorBidi" w:hAnsiTheme="majorBidi" w:cstheme="majorBidi"/>
          <w:sz w:val="28"/>
          <w:szCs w:val="28"/>
          <w:rtl/>
        </w:rPr>
        <w:t xml:space="preserve"> آلاف الأشخاص في جميع أنحاء العالم من المطالبة بحقوقهم</w:t>
      </w:r>
      <w:r w:rsidRPr="0078587C">
        <w:rPr>
          <w:rFonts w:asciiTheme="majorBidi" w:hAnsiTheme="majorBidi" w:cstheme="majorBidi"/>
          <w:sz w:val="28"/>
          <w:szCs w:val="28"/>
        </w:rPr>
        <w:t>.</w:t>
      </w:r>
    </w:p>
    <w:p w:rsidR="0078587C" w:rsidRPr="0078587C" w:rsidRDefault="0078587C" w:rsidP="0078587C">
      <w:pPr>
        <w:numPr>
          <w:ilvl w:val="0"/>
          <w:numId w:val="10"/>
        </w:numPr>
        <w:bidi/>
        <w:spacing w:before="100" w:beforeAutospacing="1" w:after="100" w:afterAutospacing="1" w:line="240" w:lineRule="auto"/>
        <w:jc w:val="both"/>
        <w:rPr>
          <w:rFonts w:asciiTheme="majorBidi" w:hAnsiTheme="majorBidi" w:cstheme="majorBidi"/>
          <w:sz w:val="28"/>
          <w:szCs w:val="28"/>
        </w:rPr>
      </w:pPr>
      <w:r w:rsidRPr="0078587C">
        <w:rPr>
          <w:rStyle w:val="lev"/>
          <w:rFonts w:asciiTheme="majorBidi" w:hAnsiTheme="majorBidi" w:cstheme="majorBidi"/>
          <w:sz w:val="28"/>
          <w:szCs w:val="28"/>
          <w:rtl/>
        </w:rPr>
        <w:t>مساعدة الحكومات</w:t>
      </w:r>
      <w:r w:rsidRPr="0078587C">
        <w:rPr>
          <w:rFonts w:asciiTheme="majorBidi" w:hAnsiTheme="majorBidi" w:cstheme="majorBidi"/>
          <w:sz w:val="28"/>
          <w:szCs w:val="28"/>
        </w:rPr>
        <w:t xml:space="preserve">: </w:t>
      </w:r>
      <w:r>
        <w:rPr>
          <w:rFonts w:asciiTheme="majorBidi" w:hAnsiTheme="majorBidi" w:cstheme="majorBidi"/>
          <w:sz w:val="28"/>
          <w:szCs w:val="28"/>
          <w:rtl/>
        </w:rPr>
        <w:t>من خلال وجود</w:t>
      </w:r>
      <w:r>
        <w:rPr>
          <w:rFonts w:asciiTheme="majorBidi" w:hAnsiTheme="majorBidi" w:cstheme="majorBidi" w:hint="cs"/>
          <w:sz w:val="28"/>
          <w:szCs w:val="28"/>
          <w:rtl/>
        </w:rPr>
        <w:t>ه</w:t>
      </w:r>
      <w:r>
        <w:rPr>
          <w:rFonts w:asciiTheme="majorBidi" w:hAnsiTheme="majorBidi" w:cstheme="majorBidi"/>
          <w:sz w:val="28"/>
          <w:szCs w:val="28"/>
          <w:rtl/>
        </w:rPr>
        <w:t xml:space="preserve">ا الميداني، </w:t>
      </w:r>
      <w:r>
        <w:rPr>
          <w:rFonts w:asciiTheme="majorBidi" w:hAnsiTheme="majorBidi" w:cstheme="majorBidi" w:hint="cs"/>
          <w:sz w:val="28"/>
          <w:szCs w:val="28"/>
          <w:rtl/>
        </w:rPr>
        <w:t>ت</w:t>
      </w:r>
      <w:r w:rsidRPr="0078587C">
        <w:rPr>
          <w:rFonts w:asciiTheme="majorBidi" w:hAnsiTheme="majorBidi" w:cstheme="majorBidi"/>
          <w:sz w:val="28"/>
          <w:szCs w:val="28"/>
          <w:rtl/>
        </w:rPr>
        <w:t>ساهم</w:t>
      </w:r>
      <w:r>
        <w:rPr>
          <w:rFonts w:asciiTheme="majorBidi" w:hAnsiTheme="majorBidi" w:cstheme="majorBidi" w:hint="cs"/>
          <w:sz w:val="28"/>
          <w:szCs w:val="28"/>
          <w:rtl/>
        </w:rPr>
        <w:t xml:space="preserve"> المفوضية</w:t>
      </w:r>
      <w:r w:rsidRPr="0078587C">
        <w:rPr>
          <w:rFonts w:asciiTheme="majorBidi" w:hAnsiTheme="majorBidi" w:cstheme="majorBidi"/>
          <w:sz w:val="28"/>
          <w:szCs w:val="28"/>
          <w:rtl/>
        </w:rPr>
        <w:t xml:space="preserve"> في منع التجاوزات وتهدئة الأوضاع التي</w:t>
      </w:r>
      <w:r>
        <w:rPr>
          <w:rFonts w:asciiTheme="majorBidi" w:hAnsiTheme="majorBidi" w:cstheme="majorBidi"/>
          <w:sz w:val="28"/>
          <w:szCs w:val="28"/>
          <w:rtl/>
        </w:rPr>
        <w:t xml:space="preserve"> قد تؤدي إلى صراع. وتغذي أنشطت</w:t>
      </w:r>
      <w:r>
        <w:rPr>
          <w:rFonts w:asciiTheme="majorBidi" w:hAnsiTheme="majorBidi" w:cstheme="majorBidi" w:hint="cs"/>
          <w:sz w:val="28"/>
          <w:szCs w:val="28"/>
          <w:rtl/>
        </w:rPr>
        <w:t>ها</w:t>
      </w:r>
      <w:r w:rsidRPr="0078587C">
        <w:rPr>
          <w:rFonts w:asciiTheme="majorBidi" w:hAnsiTheme="majorBidi" w:cstheme="majorBidi"/>
          <w:sz w:val="28"/>
          <w:szCs w:val="28"/>
          <w:rtl/>
        </w:rPr>
        <w:t xml:space="preserve"> في مجال الرصد والتحليل عملية صنع القرار</w:t>
      </w:r>
      <w:r>
        <w:rPr>
          <w:rFonts w:asciiTheme="majorBidi" w:hAnsiTheme="majorBidi" w:cstheme="majorBidi"/>
          <w:sz w:val="28"/>
          <w:szCs w:val="28"/>
          <w:rtl/>
        </w:rPr>
        <w:t xml:space="preserve">ات الحساسة </w:t>
      </w:r>
      <w:proofErr w:type="gramStart"/>
      <w:r>
        <w:rPr>
          <w:rFonts w:asciiTheme="majorBidi" w:hAnsiTheme="majorBidi" w:cstheme="majorBidi"/>
          <w:sz w:val="28"/>
          <w:szCs w:val="28"/>
          <w:rtl/>
        </w:rPr>
        <w:t>وبرامج</w:t>
      </w:r>
      <w:proofErr w:type="gramEnd"/>
      <w:r>
        <w:rPr>
          <w:rFonts w:asciiTheme="majorBidi" w:hAnsiTheme="majorBidi" w:cstheme="majorBidi"/>
          <w:sz w:val="28"/>
          <w:szCs w:val="28"/>
          <w:rtl/>
        </w:rPr>
        <w:t xml:space="preserve"> التنمية. </w:t>
      </w:r>
      <w:proofErr w:type="gramStart"/>
      <w:r>
        <w:rPr>
          <w:rFonts w:asciiTheme="majorBidi" w:hAnsiTheme="majorBidi" w:cstheme="majorBidi"/>
          <w:sz w:val="28"/>
          <w:szCs w:val="28"/>
          <w:rtl/>
        </w:rPr>
        <w:t>كما</w:t>
      </w:r>
      <w:proofErr w:type="gramEnd"/>
      <w:r>
        <w:rPr>
          <w:rFonts w:asciiTheme="majorBidi" w:hAnsiTheme="majorBidi" w:cstheme="majorBidi"/>
          <w:sz w:val="28"/>
          <w:szCs w:val="28"/>
          <w:rtl/>
        </w:rPr>
        <w:t xml:space="preserve"> </w:t>
      </w:r>
      <w:r>
        <w:rPr>
          <w:rFonts w:asciiTheme="majorBidi" w:hAnsiTheme="majorBidi" w:cstheme="majorBidi" w:hint="cs"/>
          <w:sz w:val="28"/>
          <w:szCs w:val="28"/>
          <w:rtl/>
        </w:rPr>
        <w:t>ت</w:t>
      </w:r>
      <w:r w:rsidRPr="0078587C">
        <w:rPr>
          <w:rFonts w:asciiTheme="majorBidi" w:hAnsiTheme="majorBidi" w:cstheme="majorBidi"/>
          <w:sz w:val="28"/>
          <w:szCs w:val="28"/>
          <w:rtl/>
        </w:rPr>
        <w:t>قدم خدمات بناء القدرات والم</w:t>
      </w:r>
      <w:r>
        <w:rPr>
          <w:rFonts w:asciiTheme="majorBidi" w:hAnsiTheme="majorBidi" w:cstheme="majorBidi"/>
          <w:sz w:val="28"/>
          <w:szCs w:val="28"/>
          <w:rtl/>
        </w:rPr>
        <w:t>شورة القانونية لآلاف الأشخاص، و</w:t>
      </w:r>
      <w:r>
        <w:rPr>
          <w:rFonts w:asciiTheme="majorBidi" w:hAnsiTheme="majorBidi" w:cstheme="majorBidi" w:hint="cs"/>
          <w:sz w:val="28"/>
          <w:szCs w:val="28"/>
          <w:rtl/>
        </w:rPr>
        <w:t>ت</w:t>
      </w:r>
      <w:r w:rsidRPr="0078587C">
        <w:rPr>
          <w:rFonts w:asciiTheme="majorBidi" w:hAnsiTheme="majorBidi" w:cstheme="majorBidi"/>
          <w:sz w:val="28"/>
          <w:szCs w:val="28"/>
          <w:rtl/>
        </w:rPr>
        <w:t>دعم سنّ القوانين والسياسات السليمة في جميع أنحاء العالم</w:t>
      </w:r>
      <w:r w:rsidRPr="0078587C">
        <w:rPr>
          <w:rFonts w:asciiTheme="majorBidi" w:hAnsiTheme="majorBidi" w:cstheme="majorBidi"/>
          <w:sz w:val="28"/>
          <w:szCs w:val="28"/>
        </w:rPr>
        <w:t>.</w:t>
      </w:r>
    </w:p>
    <w:p w:rsidR="0078587C" w:rsidRPr="0078587C" w:rsidRDefault="0078587C" w:rsidP="0078587C">
      <w:pPr>
        <w:numPr>
          <w:ilvl w:val="0"/>
          <w:numId w:val="10"/>
        </w:numPr>
        <w:bidi/>
        <w:spacing w:before="100" w:beforeAutospacing="1" w:after="100" w:afterAutospacing="1" w:line="240" w:lineRule="auto"/>
        <w:jc w:val="both"/>
        <w:rPr>
          <w:rFonts w:asciiTheme="majorBidi" w:hAnsiTheme="majorBidi" w:cstheme="majorBidi"/>
          <w:sz w:val="28"/>
          <w:szCs w:val="28"/>
        </w:rPr>
      </w:pPr>
      <w:r w:rsidRPr="0078587C">
        <w:rPr>
          <w:rStyle w:val="lev"/>
          <w:rFonts w:asciiTheme="majorBidi" w:hAnsiTheme="majorBidi" w:cstheme="majorBidi"/>
          <w:sz w:val="28"/>
          <w:szCs w:val="28"/>
          <w:rtl/>
        </w:rPr>
        <w:t xml:space="preserve">دمج </w:t>
      </w:r>
      <w:proofErr w:type="gramStart"/>
      <w:r w:rsidRPr="0078587C">
        <w:rPr>
          <w:rStyle w:val="lev"/>
          <w:rFonts w:asciiTheme="majorBidi" w:hAnsiTheme="majorBidi" w:cstheme="majorBidi"/>
          <w:sz w:val="28"/>
          <w:szCs w:val="28"/>
          <w:rtl/>
        </w:rPr>
        <w:t>منظور</w:t>
      </w:r>
      <w:proofErr w:type="gramEnd"/>
      <w:r w:rsidRPr="0078587C">
        <w:rPr>
          <w:rStyle w:val="lev"/>
          <w:rFonts w:asciiTheme="majorBidi" w:hAnsiTheme="majorBidi" w:cstheme="majorBidi"/>
          <w:sz w:val="28"/>
          <w:szCs w:val="28"/>
          <w:rtl/>
        </w:rPr>
        <w:t xml:space="preserve"> حقوق الإنسان في أنشطة الأمم المتّحدة كافة</w:t>
      </w:r>
      <w:r w:rsidRPr="0078587C">
        <w:rPr>
          <w:rFonts w:asciiTheme="majorBidi" w:hAnsiTheme="majorBidi" w:cstheme="majorBidi"/>
          <w:sz w:val="28"/>
          <w:szCs w:val="28"/>
        </w:rPr>
        <w:t xml:space="preserve">: </w:t>
      </w:r>
      <w:r>
        <w:rPr>
          <w:rFonts w:asciiTheme="majorBidi" w:hAnsiTheme="majorBidi" w:cstheme="majorBidi" w:hint="cs"/>
          <w:sz w:val="28"/>
          <w:szCs w:val="28"/>
          <w:rtl/>
        </w:rPr>
        <w:t>ت</w:t>
      </w:r>
      <w:r w:rsidRPr="0078587C">
        <w:rPr>
          <w:rFonts w:asciiTheme="majorBidi" w:hAnsiTheme="majorBidi" w:cstheme="majorBidi"/>
          <w:sz w:val="28"/>
          <w:szCs w:val="28"/>
          <w:rtl/>
        </w:rPr>
        <w:t>عمل</w:t>
      </w:r>
      <w:r>
        <w:rPr>
          <w:rFonts w:asciiTheme="majorBidi" w:hAnsiTheme="majorBidi" w:cstheme="majorBidi" w:hint="cs"/>
          <w:sz w:val="28"/>
          <w:szCs w:val="28"/>
          <w:rtl/>
        </w:rPr>
        <w:t xml:space="preserve"> المفوضية</w:t>
      </w:r>
      <w:r w:rsidRPr="0078587C">
        <w:rPr>
          <w:rFonts w:asciiTheme="majorBidi" w:hAnsiTheme="majorBidi" w:cstheme="majorBidi"/>
          <w:sz w:val="28"/>
          <w:szCs w:val="28"/>
          <w:rtl/>
        </w:rPr>
        <w:t xml:space="preserve"> على تعميم مراعاة حقوق الإنسان في أنشطة الأمم المتّحدة كافة لضمان أن يكون السلم والأمن، والتنمية، وحقوق الإنسان، وهي الركائز الأساسية الثلاث للأمم المتحدة، مترابطة </w:t>
      </w:r>
      <w:proofErr w:type="spellStart"/>
      <w:proofErr w:type="gramStart"/>
      <w:r w:rsidRPr="0078587C">
        <w:rPr>
          <w:rFonts w:asciiTheme="majorBidi" w:hAnsiTheme="majorBidi" w:cstheme="majorBidi"/>
          <w:sz w:val="28"/>
          <w:szCs w:val="28"/>
          <w:rtl/>
        </w:rPr>
        <w:t>ومتعاضدة</w:t>
      </w:r>
      <w:proofErr w:type="spellEnd"/>
      <w:r w:rsidR="003B724A">
        <w:rPr>
          <w:rStyle w:val="Appelnotedebasdep"/>
          <w:rFonts w:asciiTheme="majorBidi" w:hAnsiTheme="majorBidi" w:cstheme="majorBidi"/>
          <w:sz w:val="28"/>
          <w:szCs w:val="28"/>
          <w:rtl/>
        </w:rPr>
        <w:footnoteReference w:id="1"/>
      </w:r>
      <w:r w:rsidRPr="0078587C">
        <w:rPr>
          <w:rFonts w:asciiTheme="majorBidi" w:hAnsiTheme="majorBidi" w:cstheme="majorBidi"/>
          <w:sz w:val="28"/>
          <w:szCs w:val="28"/>
        </w:rPr>
        <w:t>.</w:t>
      </w:r>
      <w:proofErr w:type="gramEnd"/>
    </w:p>
    <w:p w:rsidR="0078587C" w:rsidRPr="0078587C" w:rsidRDefault="0078587C" w:rsidP="0078587C">
      <w:pPr>
        <w:pStyle w:val="Titre3"/>
        <w:bidi/>
        <w:jc w:val="both"/>
        <w:rPr>
          <w:rFonts w:asciiTheme="majorBidi" w:hAnsiTheme="majorBidi"/>
          <w:color w:val="auto"/>
          <w:sz w:val="28"/>
          <w:szCs w:val="28"/>
        </w:rPr>
      </w:pPr>
      <w:r w:rsidRPr="0078587C">
        <w:rPr>
          <w:rFonts w:asciiTheme="majorBidi" w:hAnsiTheme="majorBidi"/>
          <w:color w:val="auto"/>
          <w:sz w:val="28"/>
          <w:szCs w:val="28"/>
          <w:rtl/>
        </w:rPr>
        <w:t>لم</w:t>
      </w:r>
      <w:r>
        <w:rPr>
          <w:rFonts w:asciiTheme="majorBidi" w:hAnsiTheme="majorBidi"/>
          <w:color w:val="auto"/>
          <w:sz w:val="28"/>
          <w:szCs w:val="28"/>
          <w:rtl/>
        </w:rPr>
        <w:t>حة تاريخيّة عن ولاي</w:t>
      </w:r>
      <w:r>
        <w:rPr>
          <w:rFonts w:asciiTheme="majorBidi" w:hAnsiTheme="majorBidi" w:hint="cs"/>
          <w:color w:val="auto"/>
          <w:sz w:val="28"/>
          <w:szCs w:val="28"/>
          <w:rtl/>
        </w:rPr>
        <w:t>ة المفوضية السامية لحقوق الإنسان</w:t>
      </w:r>
    </w:p>
    <w:p w:rsidR="003B724A" w:rsidRPr="003B724A" w:rsidRDefault="003B724A" w:rsidP="003B724A">
      <w:pPr>
        <w:pStyle w:val="NormalWeb"/>
        <w:bidi/>
        <w:ind w:firstLine="708"/>
        <w:jc w:val="both"/>
        <w:rPr>
          <w:rFonts w:asciiTheme="majorBidi" w:hAnsiTheme="majorBidi" w:cstheme="majorBidi"/>
          <w:b/>
          <w:bCs/>
          <w:sz w:val="28"/>
          <w:szCs w:val="28"/>
          <w:rtl/>
        </w:rPr>
      </w:pPr>
      <w:proofErr w:type="gramStart"/>
      <w:r w:rsidRPr="003B724A">
        <w:rPr>
          <w:rFonts w:asciiTheme="majorBidi" w:hAnsiTheme="majorBidi" w:cstheme="majorBidi"/>
          <w:sz w:val="28"/>
          <w:szCs w:val="28"/>
          <w:rtl/>
        </w:rPr>
        <w:t>في</w:t>
      </w:r>
      <w:proofErr w:type="gramEnd"/>
      <w:r w:rsidRPr="003B724A">
        <w:rPr>
          <w:rFonts w:asciiTheme="majorBidi" w:hAnsiTheme="majorBidi" w:cstheme="majorBidi"/>
          <w:sz w:val="28"/>
          <w:szCs w:val="28"/>
          <w:rtl/>
        </w:rPr>
        <w:t xml:space="preserve"> أربعينات القرن العشرين، انطلق برنامج مفوضيّة الأمم المتّحدة السامية لحقوق الإنسان ضمن إطار شعبة صغيرة في مقر الأمم المتحدة. ثمّ انتقلت الشعبة، في ثمانينات القرن </w:t>
      </w:r>
      <w:proofErr w:type="gramStart"/>
      <w:r w:rsidRPr="003B724A">
        <w:rPr>
          <w:rFonts w:asciiTheme="majorBidi" w:hAnsiTheme="majorBidi" w:cstheme="majorBidi"/>
          <w:sz w:val="28"/>
          <w:szCs w:val="28"/>
          <w:rtl/>
        </w:rPr>
        <w:t>العشرين</w:t>
      </w:r>
      <w:proofErr w:type="gramEnd"/>
      <w:r w:rsidRPr="003B724A">
        <w:rPr>
          <w:rFonts w:asciiTheme="majorBidi" w:hAnsiTheme="majorBidi" w:cstheme="majorBidi"/>
          <w:sz w:val="28"/>
          <w:szCs w:val="28"/>
          <w:rtl/>
        </w:rPr>
        <w:t xml:space="preserve"> إلى جنيف، وتمّ تطويرها لتصبح مركز حقوق الإنسان. واعتمد المؤتمر العالمي لحقوق الإنسان، المنعقد بين 14 و25 حزيران/ يونيو من العام 1993، </w:t>
      </w:r>
      <w:hyperlink r:id="rId11" w:history="1">
        <w:r w:rsidRPr="003B724A">
          <w:rPr>
            <w:rStyle w:val="Lienhypertexte"/>
            <w:rFonts w:asciiTheme="majorBidi" w:hAnsiTheme="majorBidi" w:cstheme="majorBidi"/>
            <w:b/>
            <w:bCs/>
            <w:color w:val="auto"/>
            <w:sz w:val="28"/>
            <w:szCs w:val="28"/>
            <w:rtl/>
          </w:rPr>
          <w:t>إعلان وبرنامج عمل فيينا</w:t>
        </w:r>
      </w:hyperlink>
      <w:r w:rsidRPr="003B724A">
        <w:rPr>
          <w:rFonts w:asciiTheme="majorBidi" w:hAnsiTheme="majorBidi" w:cstheme="majorBidi"/>
          <w:sz w:val="28"/>
          <w:szCs w:val="28"/>
        </w:rPr>
        <w:t xml:space="preserve"> </w:t>
      </w:r>
      <w:r w:rsidRPr="003B724A">
        <w:rPr>
          <w:rFonts w:asciiTheme="majorBidi" w:hAnsiTheme="majorBidi" w:cstheme="majorBidi"/>
          <w:sz w:val="28"/>
          <w:szCs w:val="28"/>
          <w:rtl/>
        </w:rPr>
        <w:t>الذي رفع توصيات عمليّة تهدف إلى تعزيز وتنسيق قدرة الأمم المتّحدة على رصد حقوق الإنسان، ودعا الجمعيةَ العامة إلى أنشاء منصب مفوّض الأمم المتّحدة السامي لحقوق الإنسان</w:t>
      </w:r>
      <w:r>
        <w:rPr>
          <w:rStyle w:val="Appelnotedebasdep"/>
          <w:rFonts w:asciiTheme="majorBidi" w:hAnsiTheme="majorBidi" w:cstheme="majorBidi"/>
          <w:sz w:val="28"/>
          <w:szCs w:val="28"/>
          <w:rtl/>
        </w:rPr>
        <w:footnoteReference w:id="2"/>
      </w:r>
      <w:r>
        <w:rPr>
          <w:rFonts w:asciiTheme="majorBidi" w:hAnsiTheme="majorBidi" w:cstheme="majorBidi" w:hint="cs"/>
          <w:sz w:val="28"/>
          <w:szCs w:val="28"/>
          <w:rtl/>
        </w:rPr>
        <w:t>.</w:t>
      </w:r>
    </w:p>
    <w:p w:rsidR="0078587C" w:rsidRPr="0078587C" w:rsidRDefault="0078587C" w:rsidP="003B724A">
      <w:pPr>
        <w:pStyle w:val="NormalWeb"/>
        <w:bidi/>
        <w:ind w:firstLine="708"/>
        <w:jc w:val="both"/>
        <w:rPr>
          <w:rFonts w:asciiTheme="majorBidi" w:hAnsiTheme="majorBidi" w:cstheme="majorBidi"/>
          <w:b/>
          <w:bCs/>
          <w:sz w:val="28"/>
          <w:szCs w:val="28"/>
        </w:rPr>
      </w:pPr>
      <w:r w:rsidRPr="0078587C">
        <w:rPr>
          <w:rFonts w:asciiTheme="majorBidi" w:hAnsiTheme="majorBidi" w:cstheme="majorBidi"/>
          <w:sz w:val="28"/>
          <w:szCs w:val="28"/>
          <w:rtl/>
        </w:rPr>
        <w:t xml:space="preserve">أنشأت الجمعيّة العامة مفوضيّة الأمم المتّحدة السامية لحقوق الإنسان في شهر كانون الأوّل/ ديسمبر من العام 1993، بموجب </w:t>
      </w:r>
      <w:hyperlink r:id="rId12" w:history="1">
        <w:r w:rsidRPr="0078587C">
          <w:rPr>
            <w:rStyle w:val="Lienhypertexte"/>
            <w:rFonts w:asciiTheme="majorBidi" w:hAnsiTheme="majorBidi" w:cstheme="majorBidi"/>
            <w:color w:val="auto"/>
            <w:sz w:val="28"/>
            <w:szCs w:val="28"/>
            <w:rtl/>
          </w:rPr>
          <w:t>قرارها رقم 48/141</w:t>
        </w:r>
      </w:hyperlink>
      <w:r w:rsidRPr="0078587C">
        <w:rPr>
          <w:rFonts w:asciiTheme="majorBidi" w:hAnsiTheme="majorBidi" w:cstheme="majorBidi"/>
          <w:sz w:val="28"/>
          <w:szCs w:val="28"/>
        </w:rPr>
        <w:t xml:space="preserve"> </w:t>
      </w:r>
      <w:r w:rsidRPr="0078587C">
        <w:rPr>
          <w:rFonts w:asciiTheme="majorBidi" w:hAnsiTheme="majorBidi" w:cstheme="majorBidi"/>
          <w:sz w:val="28"/>
          <w:szCs w:val="28"/>
          <w:rtl/>
        </w:rPr>
        <w:t xml:space="preserve">الذي يفصّل أيضًا ولايتها، وذلك بعد أشهر قليلة من اعتماد المؤتمر العالمي لحقوق الإنسان </w:t>
      </w:r>
      <w:hyperlink r:id="rId13" w:history="1">
        <w:r w:rsidRPr="0078587C">
          <w:rPr>
            <w:rStyle w:val="Lienhypertexte"/>
            <w:rFonts w:asciiTheme="majorBidi" w:hAnsiTheme="majorBidi" w:cstheme="majorBidi"/>
            <w:b/>
            <w:bCs/>
            <w:color w:val="auto"/>
            <w:sz w:val="28"/>
            <w:szCs w:val="28"/>
            <w:rtl/>
          </w:rPr>
          <w:t>إعلان وخطة عمل فيينا</w:t>
        </w:r>
      </w:hyperlink>
      <w:r w:rsidRPr="0078587C">
        <w:rPr>
          <w:rFonts w:asciiTheme="majorBidi" w:hAnsiTheme="majorBidi" w:cstheme="majorBidi"/>
          <w:b/>
          <w:bCs/>
          <w:sz w:val="28"/>
          <w:szCs w:val="28"/>
        </w:rPr>
        <w:t xml:space="preserve">. </w:t>
      </w:r>
    </w:p>
    <w:p w:rsidR="0078587C" w:rsidRPr="0078587C" w:rsidRDefault="0078587C" w:rsidP="0078587C">
      <w:pPr>
        <w:pStyle w:val="NormalWeb"/>
        <w:bidi/>
        <w:jc w:val="both"/>
        <w:rPr>
          <w:rFonts w:asciiTheme="majorBidi" w:hAnsiTheme="majorBidi" w:cstheme="majorBidi"/>
          <w:sz w:val="28"/>
          <w:szCs w:val="28"/>
        </w:rPr>
      </w:pPr>
      <w:r w:rsidRPr="0078587C">
        <w:rPr>
          <w:rFonts w:asciiTheme="majorBidi" w:hAnsiTheme="majorBidi" w:cstheme="majorBidi"/>
          <w:sz w:val="28"/>
          <w:szCs w:val="28"/>
          <w:rtl/>
        </w:rPr>
        <w:lastRenderedPageBreak/>
        <w:t>وقد جدد إعلان فيينا، الذي اعتمدته 171 دولة، التزام العالم بحقوق الإنسان</w:t>
      </w:r>
      <w:r w:rsidRPr="0078587C">
        <w:rPr>
          <w:rFonts w:asciiTheme="majorBidi" w:hAnsiTheme="majorBidi" w:cstheme="majorBidi"/>
          <w:sz w:val="28"/>
          <w:szCs w:val="28"/>
        </w:rPr>
        <w:t xml:space="preserve">. </w:t>
      </w:r>
      <w:r w:rsidRPr="0078587C">
        <w:rPr>
          <w:rFonts w:asciiTheme="majorBidi" w:hAnsiTheme="majorBidi" w:cstheme="majorBidi"/>
          <w:sz w:val="28"/>
          <w:szCs w:val="28"/>
          <w:rtl/>
        </w:rPr>
        <w:t>كما دعا إلى تعزيز وتنسيق قدرة الرصد لمنظومة الأمم المتحدة فيما يتعلق بحقوق الإنسان</w:t>
      </w:r>
      <w:r w:rsidRPr="0078587C">
        <w:rPr>
          <w:rFonts w:asciiTheme="majorBidi" w:hAnsiTheme="majorBidi" w:cstheme="majorBidi"/>
          <w:sz w:val="28"/>
          <w:szCs w:val="28"/>
        </w:rPr>
        <w:t>.</w:t>
      </w:r>
    </w:p>
    <w:p w:rsidR="0078587C" w:rsidRPr="003B724A" w:rsidRDefault="0078587C" w:rsidP="003B724A">
      <w:pPr>
        <w:pStyle w:val="Titre3"/>
        <w:bidi/>
        <w:jc w:val="both"/>
        <w:rPr>
          <w:rFonts w:asciiTheme="majorBidi" w:hAnsiTheme="majorBidi"/>
          <w:color w:val="auto"/>
          <w:sz w:val="28"/>
          <w:szCs w:val="28"/>
        </w:rPr>
      </w:pPr>
      <w:r w:rsidRPr="003B724A">
        <w:rPr>
          <w:rFonts w:asciiTheme="majorBidi" w:hAnsiTheme="majorBidi"/>
          <w:color w:val="auto"/>
          <w:sz w:val="28"/>
          <w:szCs w:val="28"/>
          <w:rtl/>
        </w:rPr>
        <w:t>مهمّ</w:t>
      </w:r>
      <w:r w:rsidR="003B724A">
        <w:rPr>
          <w:rFonts w:asciiTheme="majorBidi" w:hAnsiTheme="majorBidi" w:hint="cs"/>
          <w:color w:val="auto"/>
          <w:sz w:val="28"/>
          <w:szCs w:val="28"/>
          <w:rtl/>
        </w:rPr>
        <w:t>ة المفوضية السامية لحقوق الإنسان:</w:t>
      </w:r>
    </w:p>
    <w:p w:rsidR="0078587C" w:rsidRPr="0078587C" w:rsidRDefault="0078587C" w:rsidP="0078587C">
      <w:pPr>
        <w:pStyle w:val="NormalWeb"/>
        <w:bidi/>
        <w:jc w:val="both"/>
        <w:rPr>
          <w:rFonts w:asciiTheme="majorBidi" w:hAnsiTheme="majorBidi" w:cstheme="majorBidi"/>
          <w:sz w:val="28"/>
          <w:szCs w:val="28"/>
        </w:rPr>
      </w:pPr>
      <w:r w:rsidRPr="0078587C">
        <w:rPr>
          <w:rFonts w:asciiTheme="majorBidi" w:hAnsiTheme="majorBidi" w:cstheme="majorBidi"/>
          <w:sz w:val="28"/>
          <w:szCs w:val="28"/>
          <w:rtl/>
        </w:rPr>
        <w:t xml:space="preserve">إنّ مفوضيّة الأمم المتّحدة السامية لحقوق الإنسان، </w:t>
      </w:r>
      <w:proofErr w:type="gramStart"/>
      <w:r w:rsidRPr="0078587C">
        <w:rPr>
          <w:rFonts w:asciiTheme="majorBidi" w:hAnsiTheme="majorBidi" w:cstheme="majorBidi"/>
          <w:sz w:val="28"/>
          <w:szCs w:val="28"/>
          <w:rtl/>
        </w:rPr>
        <w:t>من</w:t>
      </w:r>
      <w:proofErr w:type="gramEnd"/>
      <w:r w:rsidRPr="0078587C">
        <w:rPr>
          <w:rFonts w:asciiTheme="majorBidi" w:hAnsiTheme="majorBidi" w:cstheme="majorBidi"/>
          <w:sz w:val="28"/>
          <w:szCs w:val="28"/>
          <w:rtl/>
        </w:rPr>
        <w:t xml:space="preserve"> خلال تنفيذ مهمتها</w:t>
      </w:r>
      <w:r w:rsidRPr="0078587C">
        <w:rPr>
          <w:rFonts w:asciiTheme="majorBidi" w:hAnsiTheme="majorBidi" w:cstheme="majorBidi"/>
          <w:sz w:val="28"/>
          <w:szCs w:val="28"/>
        </w:rPr>
        <w:t xml:space="preserve">: </w:t>
      </w:r>
    </w:p>
    <w:p w:rsidR="0078587C" w:rsidRPr="0078587C" w:rsidRDefault="0078587C" w:rsidP="0078587C">
      <w:pPr>
        <w:numPr>
          <w:ilvl w:val="0"/>
          <w:numId w:val="11"/>
        </w:numPr>
        <w:bidi/>
        <w:spacing w:before="100" w:beforeAutospacing="1" w:after="100" w:afterAutospacing="1" w:line="240" w:lineRule="auto"/>
        <w:jc w:val="both"/>
        <w:rPr>
          <w:rFonts w:asciiTheme="majorBidi" w:hAnsiTheme="majorBidi" w:cstheme="majorBidi"/>
          <w:sz w:val="28"/>
          <w:szCs w:val="28"/>
        </w:rPr>
      </w:pPr>
      <w:r w:rsidRPr="0078587C">
        <w:rPr>
          <w:rFonts w:asciiTheme="majorBidi" w:hAnsiTheme="majorBidi" w:cstheme="majorBidi"/>
          <w:sz w:val="28"/>
          <w:szCs w:val="28"/>
          <w:rtl/>
        </w:rPr>
        <w:t>تمنح الأولوية لمعالجة انتهاكات حقوق الإنسان الأكثر إلحاحًا، الخطرة منها والمزمنة، لا سيما تلك التي تعرض الحياة لخطر وشيك</w:t>
      </w:r>
    </w:p>
    <w:p w:rsidR="0078587C" w:rsidRPr="0078587C" w:rsidRDefault="0078587C" w:rsidP="0078587C">
      <w:pPr>
        <w:numPr>
          <w:ilvl w:val="0"/>
          <w:numId w:val="11"/>
        </w:numPr>
        <w:bidi/>
        <w:spacing w:before="100" w:beforeAutospacing="1" w:after="100" w:afterAutospacing="1" w:line="240" w:lineRule="auto"/>
        <w:jc w:val="both"/>
        <w:rPr>
          <w:rFonts w:asciiTheme="majorBidi" w:hAnsiTheme="majorBidi" w:cstheme="majorBidi"/>
          <w:sz w:val="28"/>
          <w:szCs w:val="28"/>
        </w:rPr>
      </w:pPr>
      <w:r w:rsidRPr="0078587C">
        <w:rPr>
          <w:rFonts w:asciiTheme="majorBidi" w:hAnsiTheme="majorBidi" w:cstheme="majorBidi"/>
          <w:sz w:val="28"/>
          <w:szCs w:val="28"/>
          <w:rtl/>
        </w:rPr>
        <w:t xml:space="preserve">تركّز على الأكثر عرضة للخطر </w:t>
      </w:r>
      <w:proofErr w:type="gramStart"/>
      <w:r w:rsidRPr="0078587C">
        <w:rPr>
          <w:rFonts w:asciiTheme="majorBidi" w:hAnsiTheme="majorBidi" w:cstheme="majorBidi"/>
          <w:sz w:val="28"/>
          <w:szCs w:val="28"/>
          <w:rtl/>
        </w:rPr>
        <w:t>والضعف</w:t>
      </w:r>
      <w:proofErr w:type="gramEnd"/>
      <w:r w:rsidRPr="0078587C">
        <w:rPr>
          <w:rFonts w:asciiTheme="majorBidi" w:hAnsiTheme="majorBidi" w:cstheme="majorBidi"/>
          <w:sz w:val="28"/>
          <w:szCs w:val="28"/>
          <w:rtl/>
        </w:rPr>
        <w:t>، وعلى جبهات متعددة</w:t>
      </w:r>
    </w:p>
    <w:p w:rsidR="0078587C" w:rsidRPr="0078587C" w:rsidRDefault="0078587C" w:rsidP="0078587C">
      <w:pPr>
        <w:numPr>
          <w:ilvl w:val="0"/>
          <w:numId w:val="11"/>
        </w:numPr>
        <w:bidi/>
        <w:spacing w:before="100" w:beforeAutospacing="1" w:after="100" w:afterAutospacing="1" w:line="240" w:lineRule="auto"/>
        <w:jc w:val="both"/>
        <w:rPr>
          <w:rFonts w:asciiTheme="majorBidi" w:hAnsiTheme="majorBidi" w:cstheme="majorBidi"/>
          <w:sz w:val="28"/>
          <w:szCs w:val="28"/>
        </w:rPr>
      </w:pPr>
      <w:proofErr w:type="gramStart"/>
      <w:r w:rsidRPr="0078587C">
        <w:rPr>
          <w:rFonts w:asciiTheme="majorBidi" w:hAnsiTheme="majorBidi" w:cstheme="majorBidi"/>
          <w:sz w:val="28"/>
          <w:szCs w:val="28"/>
          <w:rtl/>
        </w:rPr>
        <w:t>تولي</w:t>
      </w:r>
      <w:proofErr w:type="gramEnd"/>
      <w:r w:rsidRPr="0078587C">
        <w:rPr>
          <w:rFonts w:asciiTheme="majorBidi" w:hAnsiTheme="majorBidi" w:cstheme="majorBidi"/>
          <w:sz w:val="28"/>
          <w:szCs w:val="28"/>
          <w:rtl/>
        </w:rPr>
        <w:t xml:space="preserve"> اهتمامًا متساويًا لإعمال الحقوق المدنية والثقافية والاقتصادية والسياسية والاجتماعية، بما في ذلك الحق في التنمية</w:t>
      </w:r>
    </w:p>
    <w:p w:rsidR="0078587C" w:rsidRPr="0078587C" w:rsidRDefault="0078587C" w:rsidP="0078587C">
      <w:pPr>
        <w:numPr>
          <w:ilvl w:val="0"/>
          <w:numId w:val="11"/>
        </w:numPr>
        <w:bidi/>
        <w:spacing w:before="100" w:beforeAutospacing="1" w:after="100" w:afterAutospacing="1" w:line="240" w:lineRule="auto"/>
        <w:jc w:val="both"/>
        <w:rPr>
          <w:rFonts w:asciiTheme="majorBidi" w:hAnsiTheme="majorBidi" w:cstheme="majorBidi"/>
          <w:sz w:val="28"/>
          <w:szCs w:val="28"/>
        </w:rPr>
      </w:pPr>
      <w:r w:rsidRPr="0078587C">
        <w:rPr>
          <w:rFonts w:asciiTheme="majorBidi" w:hAnsiTheme="majorBidi" w:cstheme="majorBidi"/>
          <w:sz w:val="28"/>
          <w:szCs w:val="28"/>
          <w:rtl/>
        </w:rPr>
        <w:t xml:space="preserve">تقيس تأثير </w:t>
      </w:r>
      <w:proofErr w:type="gramStart"/>
      <w:r w:rsidRPr="0078587C">
        <w:rPr>
          <w:rFonts w:asciiTheme="majorBidi" w:hAnsiTheme="majorBidi" w:cstheme="majorBidi"/>
          <w:sz w:val="28"/>
          <w:szCs w:val="28"/>
          <w:rtl/>
        </w:rPr>
        <w:t>عملها</w:t>
      </w:r>
      <w:proofErr w:type="gramEnd"/>
      <w:r w:rsidRPr="0078587C">
        <w:rPr>
          <w:rFonts w:asciiTheme="majorBidi" w:hAnsiTheme="majorBidi" w:cstheme="majorBidi"/>
          <w:sz w:val="28"/>
          <w:szCs w:val="28"/>
          <w:rtl/>
        </w:rPr>
        <w:t xml:space="preserve"> من خلال الفوائد التي يحقّقها الأفراد في جميع أنحاء العالم</w:t>
      </w:r>
    </w:p>
    <w:p w:rsidR="0078587C" w:rsidRPr="003B724A" w:rsidRDefault="003B724A" w:rsidP="003B724A">
      <w:pPr>
        <w:pStyle w:val="Titre3"/>
        <w:bidi/>
        <w:jc w:val="both"/>
        <w:rPr>
          <w:rFonts w:asciiTheme="majorBidi" w:hAnsiTheme="majorBidi"/>
          <w:color w:val="auto"/>
          <w:sz w:val="28"/>
          <w:szCs w:val="28"/>
        </w:rPr>
      </w:pPr>
      <w:r w:rsidRPr="003B724A">
        <w:rPr>
          <w:rFonts w:asciiTheme="majorBidi" w:hAnsiTheme="majorBidi" w:hint="cs"/>
          <w:color w:val="auto"/>
          <w:sz w:val="28"/>
          <w:szCs w:val="28"/>
          <w:rtl/>
        </w:rPr>
        <w:t>ال</w:t>
      </w:r>
      <w:r w:rsidRPr="003B724A">
        <w:rPr>
          <w:rFonts w:asciiTheme="majorBidi" w:hAnsiTheme="majorBidi"/>
          <w:color w:val="auto"/>
          <w:sz w:val="28"/>
          <w:szCs w:val="28"/>
          <w:rtl/>
        </w:rPr>
        <w:t>رؤي</w:t>
      </w:r>
      <w:r w:rsidRPr="003B724A">
        <w:rPr>
          <w:rFonts w:asciiTheme="majorBidi" w:hAnsiTheme="majorBidi" w:hint="cs"/>
          <w:color w:val="auto"/>
          <w:sz w:val="28"/>
          <w:szCs w:val="28"/>
          <w:rtl/>
        </w:rPr>
        <w:t xml:space="preserve">ة الاستراتيجية للمفوضية السامية </w:t>
      </w:r>
      <w:r w:rsidR="0078587C" w:rsidRPr="003B724A">
        <w:rPr>
          <w:rFonts w:asciiTheme="majorBidi" w:hAnsiTheme="majorBidi"/>
          <w:color w:val="auto"/>
          <w:sz w:val="28"/>
          <w:szCs w:val="28"/>
          <w:rtl/>
        </w:rPr>
        <w:t xml:space="preserve"> </w:t>
      </w:r>
      <w:r w:rsidRPr="003B724A">
        <w:rPr>
          <w:rFonts w:asciiTheme="majorBidi" w:hAnsiTheme="majorBidi" w:hint="cs"/>
          <w:color w:val="auto"/>
          <w:sz w:val="28"/>
          <w:szCs w:val="28"/>
          <w:rtl/>
        </w:rPr>
        <w:t>لحقوق الإنسان</w:t>
      </w:r>
      <w:r w:rsidR="0078587C" w:rsidRPr="003B724A">
        <w:rPr>
          <w:rFonts w:asciiTheme="majorBidi" w:hAnsiTheme="majorBidi"/>
          <w:color w:val="auto"/>
          <w:sz w:val="28"/>
          <w:szCs w:val="28"/>
          <w:rtl/>
        </w:rPr>
        <w:t xml:space="preserve"> للعمل في مجال حقوق الإنسان</w:t>
      </w:r>
    </w:p>
    <w:p w:rsidR="0078587C" w:rsidRPr="0078587C" w:rsidRDefault="0078587C" w:rsidP="003B724A">
      <w:pPr>
        <w:pStyle w:val="NormalWeb"/>
        <w:bidi/>
        <w:ind w:firstLine="708"/>
        <w:jc w:val="both"/>
        <w:rPr>
          <w:sz w:val="28"/>
          <w:szCs w:val="28"/>
          <w:rtl/>
        </w:rPr>
      </w:pPr>
      <w:r w:rsidRPr="0078587C">
        <w:rPr>
          <w:rFonts w:asciiTheme="majorBidi" w:hAnsiTheme="majorBidi" w:cstheme="majorBidi"/>
          <w:sz w:val="28"/>
          <w:szCs w:val="28"/>
          <w:rtl/>
        </w:rPr>
        <w:t xml:space="preserve">تتبع مفوضيّة الأمم المتّحدة السامية لحقوق الإنسان، </w:t>
      </w:r>
      <w:proofErr w:type="gramStart"/>
      <w:r w:rsidRPr="0078587C">
        <w:rPr>
          <w:rFonts w:asciiTheme="majorBidi" w:hAnsiTheme="majorBidi" w:cstheme="majorBidi"/>
          <w:sz w:val="28"/>
          <w:szCs w:val="28"/>
          <w:rtl/>
        </w:rPr>
        <w:t>بهدف</w:t>
      </w:r>
      <w:proofErr w:type="gramEnd"/>
      <w:r w:rsidRPr="0078587C">
        <w:rPr>
          <w:rFonts w:asciiTheme="majorBidi" w:hAnsiTheme="majorBidi" w:cstheme="majorBidi"/>
          <w:sz w:val="28"/>
          <w:szCs w:val="28"/>
          <w:rtl/>
        </w:rPr>
        <w:t xml:space="preserve"> تحقيق مهمّتها، إطارًا متينًا للنتائج يُعرف بخطة إدارة المفوضية السامية لحقوق الإنسان</w:t>
      </w:r>
      <w:r w:rsidRPr="0078587C">
        <w:rPr>
          <w:rFonts w:asciiTheme="majorBidi" w:hAnsiTheme="majorBidi" w:cstheme="majorBidi"/>
          <w:sz w:val="28"/>
          <w:szCs w:val="28"/>
        </w:rPr>
        <w:t xml:space="preserve">. </w:t>
      </w:r>
      <w:r w:rsidRPr="0078587C">
        <w:rPr>
          <w:rFonts w:asciiTheme="majorBidi" w:hAnsiTheme="majorBidi" w:cstheme="majorBidi"/>
          <w:sz w:val="28"/>
          <w:szCs w:val="28"/>
          <w:rtl/>
        </w:rPr>
        <w:t>وتستند خارطة الطريق هذه إلى نتائج المشاورات مع الدول الأعضاء ومنظومة الأمم المتحدة والمجتمع المدني ومجتمع المانحين والقطاع الخاص</w:t>
      </w:r>
      <w:r w:rsidRPr="0078587C">
        <w:rPr>
          <w:rFonts w:asciiTheme="majorBidi" w:hAnsiTheme="majorBidi" w:cstheme="majorBidi"/>
          <w:sz w:val="28"/>
          <w:szCs w:val="28"/>
        </w:rPr>
        <w:t xml:space="preserve">. </w:t>
      </w:r>
      <w:r w:rsidRPr="0078587C">
        <w:rPr>
          <w:rFonts w:asciiTheme="majorBidi" w:hAnsiTheme="majorBidi" w:cstheme="majorBidi"/>
          <w:sz w:val="28"/>
          <w:szCs w:val="28"/>
          <w:rtl/>
        </w:rPr>
        <w:t xml:space="preserve">وترتكز خطّة الإدارة الحالية على خطة التنمية لعام 2030 وتغطي الفترة الممتدّة بين العامين 2018 و2021 </w:t>
      </w:r>
      <w:proofErr w:type="gramStart"/>
      <w:r w:rsidRPr="0078587C">
        <w:rPr>
          <w:rFonts w:asciiTheme="majorBidi" w:hAnsiTheme="majorBidi" w:cstheme="majorBidi"/>
          <w:sz w:val="28"/>
          <w:szCs w:val="28"/>
          <w:rtl/>
        </w:rPr>
        <w:t>ضمنًا</w:t>
      </w:r>
      <w:r w:rsidR="003B724A">
        <w:rPr>
          <w:rStyle w:val="Appelnotedebasdep"/>
          <w:rFonts w:asciiTheme="majorBidi" w:hAnsiTheme="majorBidi" w:cstheme="majorBidi"/>
          <w:sz w:val="28"/>
          <w:szCs w:val="28"/>
          <w:rtl/>
        </w:rPr>
        <w:footnoteReference w:id="3"/>
      </w:r>
      <w:r w:rsidRPr="0078587C">
        <w:rPr>
          <w:rFonts w:asciiTheme="majorBidi" w:hAnsiTheme="majorBidi" w:cstheme="majorBidi"/>
          <w:sz w:val="28"/>
          <w:szCs w:val="28"/>
        </w:rPr>
        <w:t>.</w:t>
      </w:r>
      <w:proofErr w:type="gramEnd"/>
    </w:p>
    <w:p w:rsidR="00E7631D" w:rsidRPr="00E7631D" w:rsidRDefault="00E7631D" w:rsidP="0078587C">
      <w:pPr>
        <w:bidi/>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E7631D">
        <w:rPr>
          <w:rFonts w:ascii="Times New Roman" w:eastAsia="Times New Roman" w:hAnsi="Times New Roman" w:cs="Times New Roman"/>
          <w:b/>
          <w:bCs/>
          <w:sz w:val="28"/>
          <w:szCs w:val="28"/>
          <w:rtl/>
          <w:lang w:eastAsia="fr-FR"/>
        </w:rPr>
        <w:t xml:space="preserve">المفوضية السامية لحقوق الإنسان في العالم: جعل حقوق الإنسان حقيقة </w:t>
      </w:r>
      <w:proofErr w:type="gramStart"/>
      <w:r w:rsidRPr="00E7631D">
        <w:rPr>
          <w:rFonts w:ascii="Times New Roman" w:eastAsia="Times New Roman" w:hAnsi="Times New Roman" w:cs="Times New Roman"/>
          <w:b/>
          <w:bCs/>
          <w:sz w:val="28"/>
          <w:szCs w:val="28"/>
          <w:rtl/>
          <w:lang w:eastAsia="fr-FR"/>
        </w:rPr>
        <w:t>على</w:t>
      </w:r>
      <w:proofErr w:type="gramEnd"/>
      <w:r w:rsidRPr="00E7631D">
        <w:rPr>
          <w:rFonts w:ascii="Times New Roman" w:eastAsia="Times New Roman" w:hAnsi="Times New Roman" w:cs="Times New Roman"/>
          <w:b/>
          <w:bCs/>
          <w:sz w:val="28"/>
          <w:szCs w:val="28"/>
          <w:rtl/>
          <w:lang w:eastAsia="fr-FR"/>
        </w:rPr>
        <w:t xml:space="preserve"> أرض الواقع</w:t>
      </w:r>
    </w:p>
    <w:p w:rsidR="00E7631D" w:rsidRPr="00E7631D" w:rsidRDefault="00E7631D" w:rsidP="00E7631D">
      <w:pPr>
        <w:bidi/>
        <w:spacing w:before="100" w:beforeAutospacing="1" w:after="100" w:afterAutospacing="1" w:line="240" w:lineRule="auto"/>
        <w:ind w:firstLine="708"/>
        <w:jc w:val="both"/>
        <w:rPr>
          <w:rFonts w:ascii="Times New Roman" w:eastAsia="Times New Roman" w:hAnsi="Times New Roman" w:cs="Times New Roman"/>
          <w:sz w:val="28"/>
          <w:szCs w:val="28"/>
          <w:lang w:eastAsia="fr-FR"/>
        </w:rPr>
      </w:pPr>
      <w:proofErr w:type="gramStart"/>
      <w:r w:rsidRPr="00E7631D">
        <w:rPr>
          <w:rFonts w:ascii="Times New Roman" w:eastAsia="Times New Roman" w:hAnsi="Times New Roman" w:cs="Times New Roman"/>
          <w:sz w:val="28"/>
          <w:szCs w:val="28"/>
          <w:rtl/>
          <w:lang w:eastAsia="fr-FR"/>
        </w:rPr>
        <w:t>زادت</w:t>
      </w:r>
      <w:proofErr w:type="gramEnd"/>
      <w:r w:rsidRPr="00E7631D">
        <w:rPr>
          <w:rFonts w:ascii="Times New Roman" w:eastAsia="Times New Roman" w:hAnsi="Times New Roman" w:cs="Times New Roman"/>
          <w:sz w:val="28"/>
          <w:szCs w:val="28"/>
          <w:rtl/>
          <w:lang w:eastAsia="fr-FR"/>
        </w:rPr>
        <w:t xml:space="preserve"> المفوضيّة السامية لحقوق الإنسان، على مر السنين، من وجودها في الميدان، حيث تتواصل مع أعداد متزايدة من الناس وتمكّن الأشد احتياجًا إليها من التعبير عن نفسه. وتشكّل وحدات المفوضيّة السامية الميدانيّة، البعيدة عن المقر، منطلقًا استراتيجيًا لتعزيز حقوق الإنسان وحمايتها على الصعيد القطري؛ وتعميم مراعاة حقوق الإنسان، أي إدماج منظور حقوق الإنسان في عمل </w:t>
      </w:r>
      <w:r>
        <w:rPr>
          <w:rFonts w:ascii="Times New Roman" w:eastAsia="Times New Roman" w:hAnsi="Times New Roman" w:cs="Times New Roman" w:hint="cs"/>
          <w:sz w:val="28"/>
          <w:szCs w:val="28"/>
          <w:rtl/>
          <w:lang w:eastAsia="fr-FR"/>
        </w:rPr>
        <w:t>الفرق</w:t>
      </w:r>
      <w:r w:rsidRPr="00E7631D">
        <w:rPr>
          <w:rFonts w:ascii="Times New Roman" w:eastAsia="Times New Roman" w:hAnsi="Times New Roman" w:cs="Times New Roman"/>
          <w:sz w:val="28"/>
          <w:szCs w:val="28"/>
          <w:rtl/>
          <w:lang w:eastAsia="fr-FR"/>
        </w:rPr>
        <w:t xml:space="preserve"> القطريّة للأمم المتّحدة؛ والمساعدة على تعزيز المؤسسات الوطنيّة والمجتمع المدنيّ</w:t>
      </w:r>
      <w:r w:rsidRPr="00E7631D">
        <w:rPr>
          <w:rFonts w:ascii="Times New Roman" w:eastAsia="Times New Roman" w:hAnsi="Times New Roman" w:cs="Times New Roman"/>
          <w:sz w:val="28"/>
          <w:szCs w:val="28"/>
          <w:lang w:eastAsia="fr-FR"/>
        </w:rPr>
        <w:t>.</w:t>
      </w:r>
    </w:p>
    <w:p w:rsidR="00E7631D" w:rsidRDefault="00E7631D" w:rsidP="00E7631D">
      <w:pPr>
        <w:bidi/>
        <w:spacing w:before="100" w:beforeAutospacing="1" w:after="100" w:afterAutospacing="1" w:line="240" w:lineRule="auto"/>
        <w:ind w:firstLine="708"/>
        <w:jc w:val="both"/>
        <w:rPr>
          <w:rFonts w:ascii="Times New Roman" w:eastAsia="Times New Roman" w:hAnsi="Times New Roman" w:cs="Times New Roman"/>
          <w:sz w:val="28"/>
          <w:szCs w:val="28"/>
          <w:rtl/>
          <w:lang w:eastAsia="fr-FR"/>
        </w:rPr>
      </w:pPr>
      <w:r w:rsidRPr="00E7631D">
        <w:rPr>
          <w:rFonts w:ascii="Times New Roman" w:eastAsia="Times New Roman" w:hAnsi="Times New Roman" w:cs="Times New Roman"/>
          <w:sz w:val="28"/>
          <w:szCs w:val="28"/>
          <w:rtl/>
          <w:lang w:eastAsia="fr-FR"/>
        </w:rPr>
        <w:t>ويتجلّى عدد من الطرق يمكن أن تساهم من خلالها الوحدات الميدانيّة في الجهود الرامية إلى تحقيق حقوق الإنسان على أرض الواقع؛ وهي لا تقتصر على رصد وضع حقوق الإنسان في البلدان، بل تساعد أيضًا في بناء قدرة الدول الأعضاء وغيرها من الجهات المناطة بها واجبات على معالجة قضايا حقوق الإنسان. وفي ما يلي وحدات المفوضيّة السامية الميدانيّة</w:t>
      </w:r>
      <w:r w:rsidRPr="00E7631D">
        <w:rPr>
          <w:rFonts w:ascii="Times New Roman" w:eastAsia="Times New Roman" w:hAnsi="Times New Roman" w:cs="Times New Roman"/>
          <w:sz w:val="28"/>
          <w:szCs w:val="28"/>
          <w:lang w:eastAsia="fr-FR"/>
        </w:rPr>
        <w:t xml:space="preserve">: </w:t>
      </w:r>
    </w:p>
    <w:tbl>
      <w:tblPr>
        <w:tblStyle w:val="Trameclaire-Accent5"/>
        <w:bidiVisual/>
        <w:tblW w:w="0" w:type="auto"/>
        <w:tblLayout w:type="fixed"/>
        <w:tblLook w:val="04A0" w:firstRow="1" w:lastRow="0" w:firstColumn="1" w:lastColumn="0" w:noHBand="0" w:noVBand="1"/>
      </w:tblPr>
      <w:tblGrid>
        <w:gridCol w:w="1711"/>
        <w:gridCol w:w="71"/>
        <w:gridCol w:w="1522"/>
        <w:gridCol w:w="177"/>
        <w:gridCol w:w="2218"/>
        <w:gridCol w:w="362"/>
        <w:gridCol w:w="1399"/>
        <w:gridCol w:w="55"/>
        <w:gridCol w:w="1773"/>
      </w:tblGrid>
      <w:tr w:rsidR="009B7EFC" w:rsidTr="00EA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E7631D" w:rsidRPr="00E7631D" w:rsidRDefault="00E7631D" w:rsidP="00E7631D">
            <w:pPr>
              <w:pStyle w:val="Titre4"/>
              <w:bidi/>
              <w:jc w:val="center"/>
              <w:outlineLvl w:val="3"/>
              <w:rPr>
                <w:b/>
                <w:bCs/>
              </w:rPr>
            </w:pPr>
            <w:proofErr w:type="gramStart"/>
            <w:r w:rsidRPr="00E7631D">
              <w:rPr>
                <w:b/>
                <w:bCs/>
                <w:rtl/>
              </w:rPr>
              <w:t>منطقة</w:t>
            </w:r>
            <w:proofErr w:type="gramEnd"/>
            <w:r w:rsidRPr="00E7631D">
              <w:rPr>
                <w:b/>
                <w:bCs/>
                <w:rtl/>
              </w:rPr>
              <w:t xml:space="preserve"> إفريقيا</w:t>
            </w:r>
          </w:p>
        </w:tc>
        <w:tc>
          <w:tcPr>
            <w:tcW w:w="1593" w:type="dxa"/>
            <w:gridSpan w:val="2"/>
          </w:tcPr>
          <w:p w:rsidR="00E7631D" w:rsidRPr="00E7631D" w:rsidRDefault="00E7631D" w:rsidP="00E7631D">
            <w:pPr>
              <w:pStyle w:val="Titre4"/>
              <w:bidi/>
              <w:jc w:val="center"/>
              <w:outlineLvl w:val="3"/>
              <w:cnfStyle w:val="100000000000" w:firstRow="1" w:lastRow="0" w:firstColumn="0" w:lastColumn="0" w:oddVBand="0" w:evenVBand="0" w:oddHBand="0" w:evenHBand="0" w:firstRowFirstColumn="0" w:firstRowLastColumn="0" w:lastRowFirstColumn="0" w:lastRowLastColumn="0"/>
              <w:rPr>
                <w:b/>
                <w:bCs/>
              </w:rPr>
            </w:pPr>
            <w:r w:rsidRPr="00E7631D">
              <w:rPr>
                <w:b/>
                <w:bCs/>
                <w:rtl/>
              </w:rPr>
              <w:t>منطقة الشرق الأوسط وشمال إفريقيا</w:t>
            </w:r>
          </w:p>
        </w:tc>
        <w:tc>
          <w:tcPr>
            <w:tcW w:w="2757" w:type="dxa"/>
            <w:gridSpan w:val="3"/>
          </w:tcPr>
          <w:p w:rsidR="00E7631D" w:rsidRPr="00E7631D" w:rsidRDefault="00E7631D" w:rsidP="00E7631D">
            <w:pPr>
              <w:pStyle w:val="Titre4"/>
              <w:bidi/>
              <w:jc w:val="center"/>
              <w:outlineLvl w:val="3"/>
              <w:cnfStyle w:val="100000000000" w:firstRow="1" w:lastRow="0" w:firstColumn="0" w:lastColumn="0" w:oddVBand="0" w:evenVBand="0" w:oddHBand="0" w:evenHBand="0" w:firstRowFirstColumn="0" w:firstRowLastColumn="0" w:lastRowFirstColumn="0" w:lastRowLastColumn="0"/>
              <w:rPr>
                <w:b/>
                <w:bCs/>
              </w:rPr>
            </w:pPr>
            <w:proofErr w:type="gramStart"/>
            <w:r w:rsidRPr="00E7631D">
              <w:rPr>
                <w:b/>
                <w:bCs/>
                <w:rtl/>
              </w:rPr>
              <w:t>منطقة</w:t>
            </w:r>
            <w:proofErr w:type="gramEnd"/>
            <w:r w:rsidRPr="00E7631D">
              <w:rPr>
                <w:b/>
                <w:bCs/>
                <w:rtl/>
              </w:rPr>
              <w:t xml:space="preserve"> آسيا والمحيط الهادئ</w:t>
            </w:r>
          </w:p>
        </w:tc>
        <w:tc>
          <w:tcPr>
            <w:tcW w:w="1454" w:type="dxa"/>
            <w:gridSpan w:val="2"/>
          </w:tcPr>
          <w:p w:rsidR="00E7631D" w:rsidRPr="00E7631D" w:rsidRDefault="00E7631D" w:rsidP="00E7631D">
            <w:pPr>
              <w:pStyle w:val="Titre4"/>
              <w:bidi/>
              <w:jc w:val="center"/>
              <w:outlineLvl w:val="3"/>
              <w:cnfStyle w:val="100000000000" w:firstRow="1" w:lastRow="0" w:firstColumn="0" w:lastColumn="0" w:oddVBand="0" w:evenVBand="0" w:oddHBand="0" w:evenHBand="0" w:firstRowFirstColumn="0" w:firstRowLastColumn="0" w:lastRowFirstColumn="0" w:lastRowLastColumn="0"/>
              <w:rPr>
                <w:b/>
                <w:bCs/>
              </w:rPr>
            </w:pPr>
            <w:r w:rsidRPr="00E7631D">
              <w:rPr>
                <w:b/>
                <w:bCs/>
                <w:rtl/>
              </w:rPr>
              <w:t>منطقة أوروبّا وآسيا الوسطى</w:t>
            </w:r>
          </w:p>
        </w:tc>
        <w:tc>
          <w:tcPr>
            <w:tcW w:w="1773" w:type="dxa"/>
          </w:tcPr>
          <w:p w:rsidR="00E7631D" w:rsidRPr="00E7631D" w:rsidRDefault="00E7631D" w:rsidP="00E7631D">
            <w:pPr>
              <w:pStyle w:val="Titre4"/>
              <w:bidi/>
              <w:jc w:val="center"/>
              <w:outlineLvl w:val="3"/>
              <w:cnfStyle w:val="100000000000" w:firstRow="1" w:lastRow="0" w:firstColumn="0" w:lastColumn="0" w:oddVBand="0" w:evenVBand="0" w:oddHBand="0" w:evenHBand="0" w:firstRowFirstColumn="0" w:firstRowLastColumn="0" w:lastRowFirstColumn="0" w:lastRowLastColumn="0"/>
              <w:rPr>
                <w:b/>
                <w:bCs/>
              </w:rPr>
            </w:pPr>
            <w:r w:rsidRPr="00E7631D">
              <w:rPr>
                <w:b/>
                <w:bCs/>
                <w:rtl/>
              </w:rPr>
              <w:t>منطقة الأميركيّتان</w:t>
            </w:r>
          </w:p>
        </w:tc>
      </w:tr>
      <w:tr w:rsidR="00E7631D" w:rsidTr="00EA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9"/>
          </w:tcPr>
          <w:p w:rsidR="00E7631D" w:rsidRDefault="00E7631D" w:rsidP="00E7631D">
            <w:pPr>
              <w:bidi/>
              <w:spacing w:before="100" w:beforeAutospacing="1" w:after="100" w:afterAutospacing="1"/>
              <w:jc w:val="center"/>
              <w:rPr>
                <w:rFonts w:ascii="Times New Roman" w:eastAsia="Times New Roman" w:hAnsi="Times New Roman" w:cs="Times New Roman"/>
                <w:sz w:val="28"/>
                <w:szCs w:val="28"/>
                <w:rtl/>
                <w:lang w:eastAsia="fr-FR"/>
              </w:rPr>
            </w:pPr>
            <w:proofErr w:type="gramStart"/>
            <w:r>
              <w:rPr>
                <w:rtl/>
              </w:rPr>
              <w:t>المكاتب</w:t>
            </w:r>
            <w:proofErr w:type="gramEnd"/>
            <w:r>
              <w:rPr>
                <w:rtl/>
              </w:rPr>
              <w:t xml:space="preserve"> الإقليميّة</w:t>
            </w:r>
          </w:p>
        </w:tc>
      </w:tr>
      <w:tr w:rsidR="009B7EFC" w:rsidTr="00EA4FA7">
        <w:tc>
          <w:tcPr>
            <w:cnfStyle w:val="001000000000" w:firstRow="0" w:lastRow="0" w:firstColumn="1" w:lastColumn="0" w:oddVBand="0" w:evenVBand="0" w:oddHBand="0" w:evenHBand="0" w:firstRowFirstColumn="0" w:firstRowLastColumn="0" w:lastRowFirstColumn="0" w:lastRowLastColumn="0"/>
            <w:tcW w:w="1711" w:type="dxa"/>
          </w:tcPr>
          <w:p w:rsidR="00E7631D" w:rsidRPr="00E7631D" w:rsidRDefault="00E7631D" w:rsidP="00E7631D">
            <w:pPr>
              <w:bidi/>
              <w:spacing w:before="100" w:beforeAutospacing="1" w:after="100" w:afterAutospacing="1"/>
              <w:jc w:val="both"/>
              <w:rPr>
                <w:rFonts w:ascii="Times New Roman" w:eastAsia="Times New Roman" w:hAnsi="Times New Roman" w:cs="Times New Roman"/>
                <w:b w:val="0"/>
                <w:bCs w:val="0"/>
                <w:sz w:val="24"/>
                <w:szCs w:val="24"/>
                <w:rtl/>
                <w:lang w:eastAsia="fr-FR"/>
              </w:rPr>
            </w:pPr>
            <w:r>
              <w:rPr>
                <w:rFonts w:ascii="Times New Roman" w:eastAsia="Times New Roman" w:hAnsi="Times New Roman" w:cs="Times New Roman" w:hint="cs"/>
                <w:b w:val="0"/>
                <w:bCs w:val="0"/>
                <w:sz w:val="24"/>
                <w:szCs w:val="24"/>
                <w:rtl/>
                <w:lang w:eastAsia="fr-FR"/>
              </w:rPr>
              <w:t xml:space="preserve">- </w:t>
            </w:r>
            <w:proofErr w:type="gramStart"/>
            <w:r w:rsidRPr="00E7631D">
              <w:rPr>
                <w:rFonts w:ascii="Times New Roman" w:eastAsia="Times New Roman" w:hAnsi="Times New Roman" w:cs="Times New Roman" w:hint="cs"/>
                <w:b w:val="0"/>
                <w:bCs w:val="0"/>
                <w:sz w:val="24"/>
                <w:szCs w:val="24"/>
                <w:rtl/>
                <w:lang w:eastAsia="fr-FR"/>
              </w:rPr>
              <w:t>شرق</w:t>
            </w:r>
            <w:proofErr w:type="gramEnd"/>
            <w:r w:rsidRPr="00E7631D">
              <w:rPr>
                <w:rFonts w:ascii="Times New Roman" w:eastAsia="Times New Roman" w:hAnsi="Times New Roman" w:cs="Times New Roman" w:hint="cs"/>
                <w:b w:val="0"/>
                <w:bCs w:val="0"/>
                <w:sz w:val="24"/>
                <w:szCs w:val="24"/>
                <w:rtl/>
                <w:lang w:eastAsia="fr-FR"/>
              </w:rPr>
              <w:t xml:space="preserve"> أفريقيا</w:t>
            </w:r>
          </w:p>
          <w:p w:rsidR="00E7631D" w:rsidRPr="00E7631D" w:rsidRDefault="00E7631D" w:rsidP="00E7631D">
            <w:pPr>
              <w:bidi/>
              <w:spacing w:before="100" w:beforeAutospacing="1" w:after="100" w:afterAutospacing="1"/>
              <w:jc w:val="both"/>
              <w:rPr>
                <w:rFonts w:ascii="Times New Roman" w:eastAsia="Times New Roman" w:hAnsi="Times New Roman" w:cs="Times New Roman"/>
                <w:b w:val="0"/>
                <w:bCs w:val="0"/>
                <w:sz w:val="24"/>
                <w:szCs w:val="24"/>
                <w:rtl/>
                <w:lang w:eastAsia="fr-FR"/>
              </w:rPr>
            </w:pPr>
            <w:r>
              <w:rPr>
                <w:rFonts w:ascii="Times New Roman" w:eastAsia="Times New Roman" w:hAnsi="Times New Roman" w:cs="Times New Roman" w:hint="cs"/>
                <w:b w:val="0"/>
                <w:bCs w:val="0"/>
                <w:sz w:val="24"/>
                <w:szCs w:val="24"/>
                <w:rtl/>
                <w:lang w:eastAsia="fr-FR"/>
              </w:rPr>
              <w:lastRenderedPageBreak/>
              <w:t xml:space="preserve">- </w:t>
            </w:r>
            <w:proofErr w:type="gramStart"/>
            <w:r w:rsidRPr="00E7631D">
              <w:rPr>
                <w:rFonts w:ascii="Times New Roman" w:eastAsia="Times New Roman" w:hAnsi="Times New Roman" w:cs="Times New Roman" w:hint="cs"/>
                <w:b w:val="0"/>
                <w:bCs w:val="0"/>
                <w:sz w:val="24"/>
                <w:szCs w:val="24"/>
                <w:rtl/>
                <w:lang w:eastAsia="fr-FR"/>
              </w:rPr>
              <w:t>غرب</w:t>
            </w:r>
            <w:proofErr w:type="gramEnd"/>
            <w:r w:rsidRPr="00E7631D">
              <w:rPr>
                <w:rFonts w:ascii="Times New Roman" w:eastAsia="Times New Roman" w:hAnsi="Times New Roman" w:cs="Times New Roman" w:hint="cs"/>
                <w:b w:val="0"/>
                <w:bCs w:val="0"/>
                <w:sz w:val="24"/>
                <w:szCs w:val="24"/>
                <w:rtl/>
                <w:lang w:eastAsia="fr-FR"/>
              </w:rPr>
              <w:t xml:space="preserve"> أفريقيا</w:t>
            </w:r>
          </w:p>
          <w:p w:rsidR="00E7631D" w:rsidRPr="00E7631D" w:rsidRDefault="00E7631D" w:rsidP="00E7631D">
            <w:pPr>
              <w:bidi/>
              <w:spacing w:before="100" w:beforeAutospacing="1" w:after="100" w:afterAutospacing="1"/>
              <w:jc w:val="both"/>
              <w:rPr>
                <w:rFonts w:ascii="Times New Roman" w:eastAsia="Times New Roman" w:hAnsi="Times New Roman" w:cs="Times New Roman"/>
                <w:sz w:val="24"/>
                <w:szCs w:val="24"/>
                <w:rtl/>
                <w:lang w:eastAsia="fr-FR"/>
              </w:rPr>
            </w:pPr>
            <w:r>
              <w:rPr>
                <w:rFonts w:ascii="Times New Roman" w:eastAsia="Times New Roman" w:hAnsi="Times New Roman" w:cs="Times New Roman" w:hint="cs"/>
                <w:b w:val="0"/>
                <w:bCs w:val="0"/>
                <w:sz w:val="24"/>
                <w:szCs w:val="24"/>
                <w:rtl/>
                <w:lang w:eastAsia="fr-FR"/>
              </w:rPr>
              <w:t xml:space="preserve">- </w:t>
            </w:r>
            <w:r w:rsidRPr="00E7631D">
              <w:rPr>
                <w:rFonts w:ascii="Times New Roman" w:eastAsia="Times New Roman" w:hAnsi="Times New Roman" w:cs="Times New Roman" w:hint="cs"/>
                <w:b w:val="0"/>
                <w:bCs w:val="0"/>
                <w:sz w:val="24"/>
                <w:szCs w:val="24"/>
                <w:rtl/>
                <w:lang w:eastAsia="fr-FR"/>
              </w:rPr>
              <w:t>جنوب أفريقيا</w:t>
            </w:r>
          </w:p>
        </w:tc>
        <w:tc>
          <w:tcPr>
            <w:tcW w:w="1593" w:type="dxa"/>
            <w:gridSpan w:val="2"/>
          </w:tcPr>
          <w:p w:rsidR="00E7631D" w:rsidRP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xml:space="preserve">- </w:t>
            </w:r>
            <w:r w:rsidRPr="00E7631D">
              <w:rPr>
                <w:rFonts w:ascii="Times New Roman" w:eastAsia="Times New Roman" w:hAnsi="Times New Roman" w:cs="Times New Roman" w:hint="cs"/>
                <w:sz w:val="24"/>
                <w:szCs w:val="24"/>
                <w:rtl/>
                <w:lang w:eastAsia="fr-FR"/>
              </w:rPr>
              <w:t>الشرق الأوسط و شمال أفريقيا</w:t>
            </w:r>
          </w:p>
        </w:tc>
        <w:tc>
          <w:tcPr>
            <w:tcW w:w="2757" w:type="dxa"/>
            <w:gridSpan w:val="3"/>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المحيط</w:t>
            </w:r>
            <w:proofErr w:type="gramEnd"/>
            <w:r>
              <w:rPr>
                <w:rFonts w:ascii="Times New Roman" w:eastAsia="Times New Roman" w:hAnsi="Times New Roman" w:cs="Times New Roman" w:hint="cs"/>
                <w:sz w:val="24"/>
                <w:szCs w:val="24"/>
                <w:rtl/>
                <w:lang w:eastAsia="fr-FR"/>
              </w:rPr>
              <w:t xml:space="preserve"> الهادئ</w:t>
            </w:r>
          </w:p>
          <w:p w:rsidR="00E7631D" w:rsidRP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أسيا الجنوبية الشرقية</w:t>
            </w:r>
          </w:p>
        </w:tc>
        <w:tc>
          <w:tcPr>
            <w:tcW w:w="1454" w:type="dxa"/>
            <w:gridSpan w:val="2"/>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xml:space="preserve">- آسيا الوسطى </w:t>
            </w:r>
          </w:p>
          <w:p w:rsidR="00E7631D" w:rsidRP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أوروبا</w:t>
            </w:r>
          </w:p>
        </w:tc>
        <w:tc>
          <w:tcPr>
            <w:tcW w:w="1773" w:type="dxa"/>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أمريكا الوسطى</w:t>
            </w:r>
          </w:p>
          <w:p w:rsidR="00E7631D" w:rsidRP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lastRenderedPageBreak/>
              <w:t xml:space="preserve">- </w:t>
            </w:r>
            <w:proofErr w:type="gramStart"/>
            <w:r>
              <w:rPr>
                <w:rFonts w:ascii="Times New Roman" w:eastAsia="Times New Roman" w:hAnsi="Times New Roman" w:cs="Times New Roman" w:hint="cs"/>
                <w:sz w:val="24"/>
                <w:szCs w:val="24"/>
                <w:rtl/>
                <w:lang w:eastAsia="fr-FR"/>
              </w:rPr>
              <w:t>أمريكا</w:t>
            </w:r>
            <w:proofErr w:type="gramEnd"/>
            <w:r>
              <w:rPr>
                <w:rFonts w:ascii="Times New Roman" w:eastAsia="Times New Roman" w:hAnsi="Times New Roman" w:cs="Times New Roman" w:hint="cs"/>
                <w:sz w:val="24"/>
                <w:szCs w:val="24"/>
                <w:rtl/>
                <w:lang w:eastAsia="fr-FR"/>
              </w:rPr>
              <w:t xml:space="preserve"> الجنوبية</w:t>
            </w:r>
          </w:p>
        </w:tc>
      </w:tr>
      <w:tr w:rsidR="00E7631D" w:rsidTr="00EA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9"/>
          </w:tcPr>
          <w:p w:rsidR="00E7631D" w:rsidRDefault="00E7631D" w:rsidP="00E7631D">
            <w:pPr>
              <w:bidi/>
              <w:spacing w:before="100" w:beforeAutospacing="1" w:after="100" w:afterAutospacing="1"/>
              <w:jc w:val="center"/>
              <w:rPr>
                <w:rFonts w:ascii="Times New Roman" w:eastAsia="Times New Roman" w:hAnsi="Times New Roman" w:cs="Times New Roman"/>
                <w:sz w:val="28"/>
                <w:szCs w:val="28"/>
                <w:rtl/>
                <w:lang w:eastAsia="fr-FR"/>
              </w:rPr>
            </w:pPr>
            <w:r>
              <w:rPr>
                <w:rtl/>
              </w:rPr>
              <w:lastRenderedPageBreak/>
              <w:t>مراكز حقوق الإنسان الإقليميّة</w:t>
            </w:r>
          </w:p>
        </w:tc>
      </w:tr>
      <w:tr w:rsidR="009B7EFC" w:rsidTr="00EA4FA7">
        <w:tc>
          <w:tcPr>
            <w:cnfStyle w:val="001000000000" w:firstRow="0" w:lastRow="0" w:firstColumn="1" w:lastColumn="0" w:oddVBand="0" w:evenVBand="0" w:oddHBand="0" w:evenHBand="0" w:firstRowFirstColumn="0" w:firstRowLastColumn="0" w:lastRowFirstColumn="0" w:lastRowLastColumn="0"/>
            <w:tcW w:w="1711" w:type="dxa"/>
          </w:tcPr>
          <w:p w:rsidR="00E7631D" w:rsidRPr="00E7631D" w:rsidRDefault="00E7631D" w:rsidP="00E7631D">
            <w:pPr>
              <w:bidi/>
              <w:spacing w:before="100" w:beforeAutospacing="1" w:after="100" w:afterAutospacing="1"/>
              <w:jc w:val="both"/>
              <w:rPr>
                <w:rFonts w:ascii="Times New Roman" w:eastAsia="Times New Roman" w:hAnsi="Times New Roman" w:cs="Times New Roman"/>
                <w:b w:val="0"/>
                <w:bCs w:val="0"/>
                <w:sz w:val="24"/>
                <w:szCs w:val="24"/>
                <w:rtl/>
                <w:lang w:eastAsia="fr-FR"/>
              </w:rPr>
            </w:pPr>
            <w:proofErr w:type="gramStart"/>
            <w:r w:rsidRPr="00E7631D">
              <w:rPr>
                <w:rFonts w:ascii="Times New Roman" w:eastAsia="Times New Roman" w:hAnsi="Times New Roman" w:cs="Times New Roman" w:hint="cs"/>
                <w:b w:val="0"/>
                <w:bCs w:val="0"/>
                <w:sz w:val="24"/>
                <w:szCs w:val="24"/>
                <w:rtl/>
                <w:lang w:eastAsia="fr-FR"/>
              </w:rPr>
              <w:t>وسط</w:t>
            </w:r>
            <w:proofErr w:type="gramEnd"/>
            <w:r w:rsidRPr="00E7631D">
              <w:rPr>
                <w:rFonts w:ascii="Times New Roman" w:eastAsia="Times New Roman" w:hAnsi="Times New Roman" w:cs="Times New Roman" w:hint="cs"/>
                <w:b w:val="0"/>
                <w:bCs w:val="0"/>
                <w:sz w:val="24"/>
                <w:szCs w:val="24"/>
                <w:rtl/>
                <w:lang w:eastAsia="fr-FR"/>
              </w:rPr>
              <w:t xml:space="preserve"> أفريقيا</w:t>
            </w:r>
          </w:p>
        </w:tc>
        <w:tc>
          <w:tcPr>
            <w:tcW w:w="1593" w:type="dxa"/>
            <w:gridSpan w:val="2"/>
          </w:tcPr>
          <w:p w:rsidR="00E7631D" w:rsidRP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eastAsia="fr-FR"/>
              </w:rPr>
            </w:pPr>
            <w:proofErr w:type="gramStart"/>
            <w:r w:rsidRPr="00E7631D">
              <w:rPr>
                <w:rFonts w:ascii="Times New Roman" w:eastAsia="Times New Roman" w:hAnsi="Times New Roman" w:cs="Times New Roman" w:hint="cs"/>
                <w:sz w:val="24"/>
                <w:szCs w:val="24"/>
                <w:rtl/>
                <w:lang w:eastAsia="fr-FR"/>
              </w:rPr>
              <w:t>مركز</w:t>
            </w:r>
            <w:proofErr w:type="gramEnd"/>
            <w:r w:rsidRPr="00E7631D">
              <w:rPr>
                <w:rFonts w:ascii="Times New Roman" w:eastAsia="Times New Roman" w:hAnsi="Times New Roman" w:cs="Times New Roman" w:hint="cs"/>
                <w:sz w:val="24"/>
                <w:szCs w:val="24"/>
                <w:rtl/>
                <w:lang w:eastAsia="fr-FR"/>
              </w:rPr>
              <w:t xml:space="preserve"> جنوب غرب آسيا و المنطقة العربية</w:t>
            </w:r>
          </w:p>
        </w:tc>
        <w:tc>
          <w:tcPr>
            <w:tcW w:w="2757" w:type="dxa"/>
            <w:gridSpan w:val="3"/>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p>
        </w:tc>
        <w:tc>
          <w:tcPr>
            <w:tcW w:w="1454" w:type="dxa"/>
            <w:gridSpan w:val="2"/>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p>
        </w:tc>
        <w:tc>
          <w:tcPr>
            <w:tcW w:w="1773" w:type="dxa"/>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p>
        </w:tc>
      </w:tr>
      <w:tr w:rsidR="00E7631D" w:rsidTr="00EA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9"/>
          </w:tcPr>
          <w:p w:rsidR="00E7631D" w:rsidRPr="00E7631D" w:rsidRDefault="00E7631D" w:rsidP="00E7631D">
            <w:pPr>
              <w:bidi/>
              <w:spacing w:before="100" w:beforeAutospacing="1" w:after="100" w:afterAutospacing="1"/>
              <w:jc w:val="center"/>
              <w:rPr>
                <w:rFonts w:ascii="Times New Roman" w:eastAsia="Times New Roman" w:hAnsi="Times New Roman" w:cs="Times New Roman"/>
                <w:sz w:val="28"/>
                <w:szCs w:val="28"/>
                <w:rtl/>
                <w:lang w:eastAsia="fr-FR"/>
              </w:rPr>
            </w:pPr>
            <w:r>
              <w:rPr>
                <w:rtl/>
              </w:rPr>
              <w:t xml:space="preserve">المكاتب القطريّة/ القائمة بحدّ </w:t>
            </w:r>
            <w:proofErr w:type="gramStart"/>
            <w:r>
              <w:rPr>
                <w:rtl/>
              </w:rPr>
              <w:t>ذاتها</w:t>
            </w:r>
            <w:proofErr w:type="gramEnd"/>
          </w:p>
        </w:tc>
      </w:tr>
      <w:tr w:rsidR="009B7EFC" w:rsidTr="00EA4FA7">
        <w:tc>
          <w:tcPr>
            <w:cnfStyle w:val="001000000000" w:firstRow="0" w:lastRow="0" w:firstColumn="1" w:lastColumn="0" w:oddVBand="0" w:evenVBand="0" w:oddHBand="0" w:evenHBand="0" w:firstRowFirstColumn="0" w:firstRowLastColumn="0" w:lastRowFirstColumn="0" w:lastRowLastColumn="0"/>
            <w:tcW w:w="1711" w:type="dxa"/>
          </w:tcPr>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hint="cs"/>
                <w:b w:val="0"/>
                <w:bCs w:val="0"/>
                <w:sz w:val="20"/>
                <w:szCs w:val="20"/>
                <w:rtl/>
                <w:lang w:eastAsia="fr-FR"/>
              </w:rPr>
              <w:t>بوروندي</w:t>
            </w:r>
          </w:p>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hint="cs"/>
                <w:b w:val="0"/>
                <w:bCs w:val="0"/>
                <w:sz w:val="20"/>
                <w:szCs w:val="20"/>
                <w:rtl/>
                <w:lang w:eastAsia="fr-FR"/>
              </w:rPr>
              <w:t>تشاد</w:t>
            </w:r>
          </w:p>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hint="cs"/>
                <w:b w:val="0"/>
                <w:bCs w:val="0"/>
                <w:sz w:val="20"/>
                <w:szCs w:val="20"/>
                <w:rtl/>
                <w:lang w:eastAsia="fr-FR"/>
              </w:rPr>
              <w:t>غينيا</w:t>
            </w:r>
          </w:p>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hint="cs"/>
                <w:b w:val="0"/>
                <w:bCs w:val="0"/>
                <w:sz w:val="20"/>
                <w:szCs w:val="20"/>
                <w:rtl/>
                <w:lang w:eastAsia="fr-FR"/>
              </w:rPr>
              <w:t>ليبيريا</w:t>
            </w:r>
          </w:p>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hint="cs"/>
                <w:b w:val="0"/>
                <w:bCs w:val="0"/>
                <w:sz w:val="20"/>
                <w:szCs w:val="20"/>
                <w:rtl/>
                <w:lang w:eastAsia="fr-FR"/>
              </w:rPr>
              <w:t>موريتانيا</w:t>
            </w:r>
          </w:p>
          <w:p w:rsidR="00E7631D" w:rsidRPr="009B7EFC" w:rsidRDefault="00E7631D" w:rsidP="00E7631D">
            <w:pPr>
              <w:pStyle w:val="Paragraphedeliste"/>
              <w:numPr>
                <w:ilvl w:val="0"/>
                <w:numId w:val="2"/>
              </w:numPr>
              <w:bidi/>
              <w:spacing w:before="100" w:beforeAutospacing="1" w:after="100" w:afterAutospacing="1"/>
              <w:jc w:val="both"/>
              <w:rPr>
                <w:rFonts w:ascii="Times New Roman" w:eastAsia="Times New Roman" w:hAnsi="Times New Roman" w:cs="Times New Roman"/>
                <w:sz w:val="20"/>
                <w:szCs w:val="20"/>
                <w:rtl/>
                <w:lang w:eastAsia="fr-FR"/>
              </w:rPr>
            </w:pPr>
            <w:r w:rsidRPr="009B7EFC">
              <w:rPr>
                <w:rFonts w:ascii="Times New Roman" w:eastAsia="Times New Roman" w:hAnsi="Times New Roman" w:cs="Times New Roman" w:hint="cs"/>
                <w:b w:val="0"/>
                <w:bCs w:val="0"/>
                <w:sz w:val="20"/>
                <w:szCs w:val="20"/>
                <w:rtl/>
                <w:lang w:eastAsia="fr-FR"/>
              </w:rPr>
              <w:t>أوغندا</w:t>
            </w:r>
          </w:p>
        </w:tc>
        <w:tc>
          <w:tcPr>
            <w:tcW w:w="1593" w:type="dxa"/>
            <w:gridSpan w:val="2"/>
          </w:tcPr>
          <w:p w:rsidR="00E7631D"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دولة فلسطين</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تونس</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lang w:eastAsia="fr-FR"/>
              </w:rPr>
            </w:pPr>
            <w:r w:rsidRPr="009B7EFC">
              <w:rPr>
                <w:rFonts w:ascii="Times New Roman" w:eastAsia="Times New Roman" w:hAnsi="Times New Roman" w:cs="Times New Roman" w:hint="cs"/>
                <w:sz w:val="20"/>
                <w:szCs w:val="20"/>
                <w:rtl/>
                <w:lang w:eastAsia="fr-FR"/>
              </w:rPr>
              <w:t>اليمن</w:t>
            </w:r>
          </w:p>
        </w:tc>
        <w:tc>
          <w:tcPr>
            <w:tcW w:w="2757" w:type="dxa"/>
            <w:gridSpan w:val="3"/>
          </w:tcPr>
          <w:p w:rsidR="00E7631D"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كمبوديا</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r w:rsidRPr="009B7EFC">
              <w:rPr>
                <w:rFonts w:ascii="Times New Roman" w:eastAsia="Times New Roman" w:hAnsi="Times New Roman" w:cs="Times New Roman" w:hint="cs"/>
                <w:sz w:val="20"/>
                <w:szCs w:val="20"/>
                <w:rtl/>
                <w:lang w:eastAsia="fr-FR"/>
              </w:rPr>
              <w:t>مفوضية الأمم المتحدة السامية لحقوق الإنسان (</w:t>
            </w:r>
            <w:proofErr w:type="gramStart"/>
            <w:r w:rsidRPr="009B7EFC">
              <w:rPr>
                <w:rFonts w:ascii="Times New Roman" w:eastAsia="Times New Roman" w:hAnsi="Times New Roman" w:cs="Times New Roman" w:hint="cs"/>
                <w:sz w:val="20"/>
                <w:szCs w:val="20"/>
                <w:rtl/>
                <w:lang w:eastAsia="fr-FR"/>
              </w:rPr>
              <w:t>سول</w:t>
            </w:r>
            <w:proofErr w:type="gramEnd"/>
            <w:r w:rsidRPr="009B7EFC">
              <w:rPr>
                <w:rFonts w:ascii="Times New Roman" w:eastAsia="Times New Roman" w:hAnsi="Times New Roman" w:cs="Times New Roman" w:hint="cs"/>
                <w:sz w:val="20"/>
                <w:szCs w:val="20"/>
                <w:rtl/>
                <w:lang w:eastAsia="fr-FR"/>
              </w:rPr>
              <w:t>)</w:t>
            </w:r>
          </w:p>
        </w:tc>
        <w:tc>
          <w:tcPr>
            <w:tcW w:w="1454" w:type="dxa"/>
            <w:gridSpan w:val="2"/>
          </w:tcPr>
          <w:p w:rsidR="00E7631D" w:rsidRDefault="00E7631D" w:rsidP="00E7631D">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p>
        </w:tc>
        <w:tc>
          <w:tcPr>
            <w:tcW w:w="1773" w:type="dxa"/>
          </w:tcPr>
          <w:p w:rsidR="00E7631D"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كولومبيا</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غواتيمالا</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9B7EFC">
              <w:rPr>
                <w:rFonts w:ascii="Times New Roman" w:eastAsia="Times New Roman" w:hAnsi="Times New Roman" w:cs="Times New Roman" w:hint="cs"/>
                <w:sz w:val="20"/>
                <w:szCs w:val="20"/>
                <w:rtl/>
                <w:lang w:eastAsia="fr-FR"/>
              </w:rPr>
              <w:t>هندوراس</w:t>
            </w:r>
          </w:p>
          <w:p w:rsidR="009B7EFC" w:rsidRPr="009B7EFC" w:rsidRDefault="009B7EFC" w:rsidP="009B7EFC">
            <w:pPr>
              <w:pStyle w:val="Paragraphedeliste"/>
              <w:numPr>
                <w:ilvl w:val="0"/>
                <w:numId w:val="2"/>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r w:rsidRPr="009B7EFC">
              <w:rPr>
                <w:rFonts w:ascii="Times New Roman" w:eastAsia="Times New Roman" w:hAnsi="Times New Roman" w:cs="Times New Roman" w:hint="cs"/>
                <w:sz w:val="20"/>
                <w:szCs w:val="20"/>
                <w:rtl/>
                <w:lang w:eastAsia="fr-FR"/>
              </w:rPr>
              <w:t>المكسيك</w:t>
            </w:r>
          </w:p>
        </w:tc>
      </w:tr>
      <w:tr w:rsidR="009B7EFC" w:rsidTr="00EA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9B7EFC" w:rsidRPr="009B7EFC" w:rsidRDefault="009B7EFC" w:rsidP="009B7EFC">
            <w:pPr>
              <w:bidi/>
              <w:spacing w:before="100" w:beforeAutospacing="1" w:after="100" w:afterAutospacing="1"/>
              <w:jc w:val="both"/>
              <w:rPr>
                <w:rFonts w:ascii="Times New Roman" w:eastAsia="Times New Roman" w:hAnsi="Times New Roman" w:cs="Times New Roman"/>
                <w:sz w:val="20"/>
                <w:szCs w:val="20"/>
                <w:rtl/>
                <w:lang w:eastAsia="fr-FR"/>
              </w:rPr>
            </w:pPr>
          </w:p>
        </w:tc>
        <w:tc>
          <w:tcPr>
            <w:tcW w:w="5804" w:type="dxa"/>
            <w:gridSpan w:val="7"/>
          </w:tcPr>
          <w:p w:rsidR="009B7EFC" w:rsidRPr="009B7EFC" w:rsidRDefault="009B7EFC" w:rsidP="00A11CD6">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lang w:eastAsia="fr-FR"/>
              </w:rPr>
            </w:pPr>
            <w:r w:rsidRPr="009B7EFC">
              <w:rPr>
                <w:b/>
                <w:bCs/>
                <w:rtl/>
              </w:rPr>
              <w:t xml:space="preserve">حقوق </w:t>
            </w:r>
            <w:r w:rsidRPr="009B7EFC">
              <w:rPr>
                <w:rFonts w:hint="cs"/>
                <w:b/>
                <w:bCs/>
                <w:rtl/>
              </w:rPr>
              <w:t>ا</w:t>
            </w:r>
            <w:r w:rsidRPr="009B7EFC">
              <w:rPr>
                <w:b/>
                <w:bCs/>
                <w:rtl/>
              </w:rPr>
              <w:t>لإنسان على مستوى بعثات الأمم المتّحدة للسلام</w:t>
            </w:r>
          </w:p>
        </w:tc>
        <w:tc>
          <w:tcPr>
            <w:tcW w:w="1773" w:type="dxa"/>
          </w:tcPr>
          <w:p w:rsidR="009B7EFC" w:rsidRPr="009B7EFC" w:rsidRDefault="009B7EFC" w:rsidP="009B7EFC">
            <w:pPr>
              <w:pStyle w:val="Paragraphedeliste"/>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tl/>
                <w:lang w:eastAsia="fr-FR"/>
              </w:rPr>
            </w:pPr>
          </w:p>
        </w:tc>
      </w:tr>
      <w:tr w:rsidR="00EA4FA7" w:rsidTr="00EA4FA7">
        <w:tc>
          <w:tcPr>
            <w:cnfStyle w:val="001000000000" w:firstRow="0" w:lastRow="0" w:firstColumn="1" w:lastColumn="0" w:oddVBand="0" w:evenVBand="0" w:oddHBand="0" w:evenHBand="0" w:firstRowFirstColumn="0" w:firstRowLastColumn="0" w:lastRowFirstColumn="0" w:lastRowLastColumn="0"/>
            <w:tcW w:w="1711" w:type="dxa"/>
          </w:tcPr>
          <w:p w:rsidR="009B7EFC" w:rsidRPr="009B7EFC" w:rsidRDefault="0083724E"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14" w:history="1">
              <w:r w:rsidR="009B7EFC" w:rsidRPr="009B7EFC">
                <w:rPr>
                  <w:rFonts w:ascii="Times New Roman" w:eastAsia="Times New Roman" w:hAnsi="Times New Roman" w:cs="Times New Roman"/>
                  <w:b w:val="0"/>
                  <w:bCs w:val="0"/>
                  <w:color w:val="0000FF"/>
                  <w:sz w:val="20"/>
                  <w:szCs w:val="20"/>
                  <w:rtl/>
                  <w:lang w:eastAsia="fr-FR"/>
                </w:rPr>
                <w:t xml:space="preserve">جمهوريّة </w:t>
              </w:r>
              <w:r w:rsidR="009B7EFC">
                <w:rPr>
                  <w:rFonts w:ascii="Times New Roman" w:eastAsia="Times New Roman" w:hAnsi="Times New Roman" w:cs="Times New Roman" w:hint="cs"/>
                  <w:b w:val="0"/>
                  <w:bCs w:val="0"/>
                  <w:color w:val="0000FF"/>
                  <w:sz w:val="20"/>
                  <w:szCs w:val="20"/>
                  <w:rtl/>
                  <w:lang w:eastAsia="fr-FR"/>
                </w:rPr>
                <w:t>أ</w:t>
              </w:r>
              <w:r w:rsidR="009B7EFC" w:rsidRPr="009B7EFC">
                <w:rPr>
                  <w:rFonts w:ascii="Times New Roman" w:eastAsia="Times New Roman" w:hAnsi="Times New Roman" w:cs="Times New Roman"/>
                  <w:b w:val="0"/>
                  <w:bCs w:val="0"/>
                  <w:color w:val="0000FF"/>
                  <w:sz w:val="20"/>
                  <w:szCs w:val="20"/>
                  <w:rtl/>
                  <w:lang w:eastAsia="fr-FR"/>
                </w:rPr>
                <w:t>فريقيا الوسطى</w:t>
              </w:r>
            </w:hyperlink>
          </w:p>
          <w:p w:rsidR="009B7EFC" w:rsidRPr="009B7EFC" w:rsidRDefault="0083724E"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15" w:history="1">
              <w:r w:rsidR="009B7EFC" w:rsidRPr="009B7EFC">
                <w:rPr>
                  <w:rFonts w:ascii="Times New Roman" w:eastAsia="Times New Roman" w:hAnsi="Times New Roman" w:cs="Times New Roman"/>
                  <w:b w:val="0"/>
                  <w:bCs w:val="0"/>
                  <w:color w:val="0000FF"/>
                  <w:sz w:val="20"/>
                  <w:szCs w:val="20"/>
                  <w:rtl/>
                  <w:lang w:eastAsia="fr-FR"/>
                </w:rPr>
                <w:t xml:space="preserve">جمهوريّة كونغو الديمقراطيّة </w:t>
              </w:r>
            </w:hyperlink>
          </w:p>
          <w:p w:rsidR="009B7EFC" w:rsidRPr="009B7EFC" w:rsidRDefault="0083724E"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16" w:history="1">
              <w:r w:rsidR="009B7EFC" w:rsidRPr="009B7EFC">
                <w:rPr>
                  <w:rFonts w:ascii="Times New Roman" w:eastAsia="Times New Roman" w:hAnsi="Times New Roman" w:cs="Times New Roman"/>
                  <w:b w:val="0"/>
                  <w:bCs w:val="0"/>
                  <w:color w:val="0000FF"/>
                  <w:sz w:val="20"/>
                  <w:szCs w:val="20"/>
                  <w:rtl/>
                  <w:lang w:eastAsia="fr-FR"/>
                </w:rPr>
                <w:t>غينيا بيساو</w:t>
              </w:r>
            </w:hyperlink>
          </w:p>
          <w:p w:rsidR="009B7EFC" w:rsidRPr="009B7EFC" w:rsidRDefault="009B7EFC"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b w:val="0"/>
                <w:bCs w:val="0"/>
                <w:sz w:val="20"/>
                <w:szCs w:val="20"/>
                <w:rtl/>
                <w:lang w:eastAsia="fr-FR"/>
              </w:rPr>
              <w:t>مالي</w:t>
            </w:r>
          </w:p>
          <w:p w:rsidR="009B7EFC" w:rsidRPr="009B7EFC" w:rsidRDefault="0083724E"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17" w:history="1">
              <w:r w:rsidR="009B7EFC" w:rsidRPr="009B7EFC">
                <w:rPr>
                  <w:rFonts w:ascii="Times New Roman" w:eastAsia="Times New Roman" w:hAnsi="Times New Roman" w:cs="Times New Roman"/>
                  <w:b w:val="0"/>
                  <w:bCs w:val="0"/>
                  <w:color w:val="0000FF"/>
                  <w:sz w:val="20"/>
                  <w:szCs w:val="20"/>
                  <w:rtl/>
                  <w:lang w:eastAsia="fr-FR"/>
                </w:rPr>
                <w:t>الصومال</w:t>
              </w:r>
            </w:hyperlink>
          </w:p>
          <w:p w:rsidR="009B7EFC" w:rsidRPr="009B7EFC" w:rsidRDefault="009B7EFC"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9B7EFC">
              <w:rPr>
                <w:rFonts w:ascii="Times New Roman" w:eastAsia="Times New Roman" w:hAnsi="Times New Roman" w:cs="Times New Roman"/>
                <w:b w:val="0"/>
                <w:bCs w:val="0"/>
                <w:sz w:val="20"/>
                <w:szCs w:val="20"/>
                <w:rtl/>
                <w:lang w:eastAsia="fr-FR"/>
              </w:rPr>
              <w:t>جنوب السودان</w:t>
            </w:r>
          </w:p>
          <w:p w:rsidR="009B7EFC" w:rsidRPr="009B7EFC" w:rsidRDefault="0083724E" w:rsidP="009B7EFC">
            <w:pPr>
              <w:numPr>
                <w:ilvl w:val="0"/>
                <w:numId w:val="3"/>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18" w:history="1">
              <w:r w:rsidR="009B7EFC" w:rsidRPr="009B7EFC">
                <w:rPr>
                  <w:rFonts w:ascii="Times New Roman" w:eastAsia="Times New Roman" w:hAnsi="Times New Roman" w:cs="Times New Roman"/>
                  <w:b w:val="0"/>
                  <w:bCs w:val="0"/>
                  <w:color w:val="0000FF"/>
                  <w:sz w:val="20"/>
                  <w:szCs w:val="20"/>
                  <w:rtl/>
                  <w:lang w:eastAsia="fr-FR"/>
                </w:rPr>
                <w:t>السودان</w:t>
              </w:r>
            </w:hyperlink>
          </w:p>
          <w:p w:rsidR="009B7EFC" w:rsidRPr="009B7EFC" w:rsidRDefault="009B7EFC" w:rsidP="009B7EFC">
            <w:pPr>
              <w:bidi/>
              <w:spacing w:before="100" w:beforeAutospacing="1" w:after="100" w:afterAutospacing="1"/>
              <w:jc w:val="both"/>
              <w:rPr>
                <w:rFonts w:ascii="Times New Roman" w:eastAsia="Times New Roman" w:hAnsi="Times New Roman" w:cs="Times New Roman"/>
                <w:sz w:val="20"/>
                <w:szCs w:val="20"/>
                <w:rtl/>
                <w:lang w:eastAsia="fr-FR"/>
              </w:rPr>
            </w:pPr>
          </w:p>
        </w:tc>
        <w:tc>
          <w:tcPr>
            <w:tcW w:w="1593" w:type="dxa"/>
            <w:gridSpan w:val="2"/>
          </w:tcPr>
          <w:p w:rsidR="009B7EFC" w:rsidRPr="009B7EFC" w:rsidRDefault="0083724E" w:rsidP="009B7EFC">
            <w:pPr>
              <w:numPr>
                <w:ilvl w:val="0"/>
                <w:numId w:val="4"/>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19" w:history="1">
              <w:r w:rsidR="009B7EFC" w:rsidRPr="009B7EFC">
                <w:rPr>
                  <w:rFonts w:ascii="Times New Roman" w:eastAsia="Times New Roman" w:hAnsi="Times New Roman" w:cs="Times New Roman"/>
                  <w:color w:val="0000FF"/>
                  <w:sz w:val="20"/>
                  <w:szCs w:val="20"/>
                  <w:rtl/>
                  <w:lang w:eastAsia="fr-FR"/>
                </w:rPr>
                <w:t>العراق</w:t>
              </w:r>
            </w:hyperlink>
          </w:p>
          <w:p w:rsidR="009B7EFC" w:rsidRPr="009B7EFC" w:rsidRDefault="0083724E" w:rsidP="009B7EFC">
            <w:pPr>
              <w:numPr>
                <w:ilvl w:val="0"/>
                <w:numId w:val="4"/>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20" w:tooltip="Libya country page" w:history="1">
              <w:r w:rsidR="009B7EFC" w:rsidRPr="009B7EFC">
                <w:rPr>
                  <w:rFonts w:ascii="Times New Roman" w:eastAsia="Times New Roman" w:hAnsi="Times New Roman" w:cs="Times New Roman"/>
                  <w:color w:val="0000FF"/>
                  <w:sz w:val="20"/>
                  <w:szCs w:val="20"/>
                  <w:rtl/>
                  <w:lang w:eastAsia="fr-FR"/>
                </w:rPr>
                <w:t>ليبيا</w:t>
              </w:r>
            </w:hyperlink>
          </w:p>
          <w:p w:rsidR="009B7EFC" w:rsidRPr="009B7EFC" w:rsidRDefault="009B7EFC" w:rsidP="009B7EFC">
            <w:pPr>
              <w:pStyle w:val="Paragraphedeliste"/>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lang w:eastAsia="fr-FR"/>
              </w:rPr>
            </w:pPr>
          </w:p>
        </w:tc>
        <w:tc>
          <w:tcPr>
            <w:tcW w:w="2757" w:type="dxa"/>
            <w:gridSpan w:val="3"/>
          </w:tcPr>
          <w:p w:rsidR="009B7EFC" w:rsidRPr="009B7EFC" w:rsidRDefault="0083724E" w:rsidP="009B7EFC">
            <w:pPr>
              <w:pStyle w:val="Paragraphedeliste"/>
              <w:numPr>
                <w:ilvl w:val="0"/>
                <w:numId w:val="5"/>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eastAsia="fr-FR"/>
              </w:rPr>
            </w:pPr>
            <w:hyperlink r:id="rId21" w:history="1">
              <w:r w:rsidR="009B7EFC" w:rsidRPr="009B7EFC">
                <w:rPr>
                  <w:rStyle w:val="Lienhypertexte"/>
                  <w:rFonts w:asciiTheme="majorBidi" w:hAnsiTheme="majorBidi" w:cstheme="majorBidi"/>
                  <w:sz w:val="20"/>
                  <w:szCs w:val="20"/>
                  <w:u w:val="none"/>
                  <w:rtl/>
                </w:rPr>
                <w:t>أفغانستان</w:t>
              </w:r>
            </w:hyperlink>
          </w:p>
        </w:tc>
        <w:tc>
          <w:tcPr>
            <w:tcW w:w="1454" w:type="dxa"/>
            <w:gridSpan w:val="2"/>
          </w:tcPr>
          <w:p w:rsidR="009B7EFC" w:rsidRDefault="009B7EFC" w:rsidP="009B7EFC">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tl/>
                <w:lang w:eastAsia="fr-FR"/>
              </w:rPr>
            </w:pPr>
            <w:r>
              <w:rPr>
                <w:rtl/>
              </w:rPr>
              <w:t>كوسوفو</w:t>
            </w:r>
          </w:p>
        </w:tc>
        <w:tc>
          <w:tcPr>
            <w:tcW w:w="1773" w:type="dxa"/>
          </w:tcPr>
          <w:p w:rsidR="009B7EFC" w:rsidRPr="009B7EFC" w:rsidRDefault="0083724E" w:rsidP="009B7EFC">
            <w:pPr>
              <w:pStyle w:val="Paragraphedeliste"/>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eastAsia="fr-FR"/>
              </w:rPr>
            </w:pPr>
            <w:hyperlink r:id="rId22" w:history="1">
              <w:r w:rsidR="009B7EFC" w:rsidRPr="009B7EFC">
                <w:rPr>
                  <w:rStyle w:val="Lienhypertexte"/>
                  <w:rFonts w:asciiTheme="majorBidi" w:hAnsiTheme="majorBidi" w:cstheme="majorBidi"/>
                  <w:sz w:val="20"/>
                  <w:szCs w:val="20"/>
                  <w:u w:val="none"/>
                  <w:rtl/>
                </w:rPr>
                <w:t>هاييتي</w:t>
              </w:r>
            </w:hyperlink>
          </w:p>
        </w:tc>
      </w:tr>
      <w:tr w:rsidR="00EA4FA7" w:rsidTr="00EA4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9"/>
          </w:tcPr>
          <w:p w:rsidR="00EA4FA7" w:rsidRPr="009B7EFC" w:rsidRDefault="00EA4FA7" w:rsidP="00EA4FA7">
            <w:pPr>
              <w:pStyle w:val="Paragraphedeliste"/>
              <w:bidi/>
              <w:spacing w:before="100" w:beforeAutospacing="1" w:after="100" w:afterAutospacing="1"/>
              <w:jc w:val="center"/>
              <w:rPr>
                <w:rFonts w:asciiTheme="majorBidi" w:hAnsiTheme="majorBidi" w:cstheme="majorBidi"/>
                <w:sz w:val="20"/>
                <w:szCs w:val="20"/>
              </w:rPr>
            </w:pPr>
            <w:r>
              <w:rPr>
                <w:rtl/>
              </w:rPr>
              <w:t>مستشارو حقوق الإنسان</w:t>
            </w:r>
          </w:p>
        </w:tc>
      </w:tr>
      <w:tr w:rsidR="00EA4FA7" w:rsidTr="00EA4FA7">
        <w:tc>
          <w:tcPr>
            <w:cnfStyle w:val="001000000000" w:firstRow="0" w:lastRow="0" w:firstColumn="1" w:lastColumn="0" w:oddVBand="0" w:evenVBand="0" w:oddHBand="0" w:evenHBand="0" w:firstRowFirstColumn="0" w:firstRowLastColumn="0" w:lastRowFirstColumn="0" w:lastRowLastColumn="0"/>
            <w:tcW w:w="1782" w:type="dxa"/>
            <w:gridSpan w:val="2"/>
          </w:tcPr>
          <w:p w:rsidR="00EA4FA7" w:rsidRPr="00EA4FA7" w:rsidRDefault="0083724E" w:rsidP="00EA4FA7">
            <w:pPr>
              <w:numPr>
                <w:ilvl w:val="0"/>
                <w:numId w:val="6"/>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23" w:history="1">
              <w:r w:rsidR="00EA4FA7" w:rsidRPr="00EA4FA7">
                <w:rPr>
                  <w:rFonts w:ascii="Times New Roman" w:eastAsia="Times New Roman" w:hAnsi="Times New Roman" w:cs="Times New Roman"/>
                  <w:b w:val="0"/>
                  <w:bCs w:val="0"/>
                  <w:color w:val="0000FF"/>
                  <w:sz w:val="20"/>
                  <w:szCs w:val="20"/>
                  <w:rtl/>
                  <w:lang w:eastAsia="fr-FR"/>
                </w:rPr>
                <w:t>كينيا</w:t>
              </w:r>
            </w:hyperlink>
          </w:p>
          <w:p w:rsidR="00EA4FA7" w:rsidRPr="00EA4FA7" w:rsidRDefault="00EA4FA7" w:rsidP="00EA4FA7">
            <w:pPr>
              <w:numPr>
                <w:ilvl w:val="0"/>
                <w:numId w:val="6"/>
              </w:numPr>
              <w:bidi/>
              <w:spacing w:before="100" w:beforeAutospacing="1" w:after="100" w:afterAutospacing="1"/>
              <w:jc w:val="both"/>
              <w:rPr>
                <w:rFonts w:ascii="Times New Roman" w:eastAsia="Times New Roman" w:hAnsi="Times New Roman" w:cs="Times New Roman"/>
                <w:b w:val="0"/>
                <w:bCs w:val="0"/>
                <w:sz w:val="20"/>
                <w:szCs w:val="20"/>
                <w:lang w:eastAsia="fr-FR"/>
              </w:rPr>
            </w:pPr>
            <w:r w:rsidRPr="00EA4FA7">
              <w:rPr>
                <w:rFonts w:ascii="Times New Roman" w:eastAsia="Times New Roman" w:hAnsi="Times New Roman" w:cs="Times New Roman"/>
                <w:b w:val="0"/>
                <w:bCs w:val="0"/>
                <w:sz w:val="20"/>
                <w:szCs w:val="20"/>
                <w:rtl/>
                <w:lang w:eastAsia="fr-FR"/>
              </w:rPr>
              <w:t>مدغشقر</w:t>
            </w:r>
          </w:p>
          <w:p w:rsidR="00EA4FA7" w:rsidRPr="00EA4FA7" w:rsidRDefault="0083724E" w:rsidP="00EA4FA7">
            <w:pPr>
              <w:numPr>
                <w:ilvl w:val="0"/>
                <w:numId w:val="6"/>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24" w:history="1">
              <w:r w:rsidR="00EA4FA7" w:rsidRPr="00EA4FA7">
                <w:rPr>
                  <w:rFonts w:ascii="Times New Roman" w:eastAsia="Times New Roman" w:hAnsi="Times New Roman" w:cs="Times New Roman"/>
                  <w:b w:val="0"/>
                  <w:bCs w:val="0"/>
                  <w:color w:val="0000FF"/>
                  <w:sz w:val="20"/>
                  <w:szCs w:val="20"/>
                  <w:rtl/>
                  <w:lang w:eastAsia="fr-FR"/>
                </w:rPr>
                <w:t>مالاوي</w:t>
              </w:r>
            </w:hyperlink>
          </w:p>
          <w:p w:rsidR="00EA4FA7" w:rsidRPr="00EA4FA7" w:rsidRDefault="0083724E" w:rsidP="00EA4FA7">
            <w:pPr>
              <w:numPr>
                <w:ilvl w:val="0"/>
                <w:numId w:val="6"/>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25" w:history="1">
              <w:r w:rsidR="00EA4FA7" w:rsidRPr="00EA4FA7">
                <w:rPr>
                  <w:rFonts w:ascii="Times New Roman" w:eastAsia="Times New Roman" w:hAnsi="Times New Roman" w:cs="Times New Roman"/>
                  <w:b w:val="0"/>
                  <w:bCs w:val="0"/>
                  <w:color w:val="0000FF"/>
                  <w:sz w:val="20"/>
                  <w:szCs w:val="20"/>
                  <w:rtl/>
                  <w:lang w:eastAsia="fr-FR"/>
                </w:rPr>
                <w:t>نيجريا</w:t>
              </w:r>
            </w:hyperlink>
          </w:p>
          <w:p w:rsidR="00EA4FA7" w:rsidRPr="00EA4FA7" w:rsidRDefault="0083724E" w:rsidP="00EA4FA7">
            <w:pPr>
              <w:numPr>
                <w:ilvl w:val="0"/>
                <w:numId w:val="6"/>
              </w:numPr>
              <w:bidi/>
              <w:spacing w:before="100" w:beforeAutospacing="1" w:after="100" w:afterAutospacing="1"/>
              <w:jc w:val="both"/>
              <w:rPr>
                <w:rFonts w:ascii="Times New Roman" w:eastAsia="Times New Roman" w:hAnsi="Times New Roman" w:cs="Times New Roman"/>
                <w:b w:val="0"/>
                <w:bCs w:val="0"/>
                <w:sz w:val="20"/>
                <w:szCs w:val="20"/>
                <w:lang w:eastAsia="fr-FR"/>
              </w:rPr>
            </w:pPr>
            <w:hyperlink r:id="rId26" w:history="1">
              <w:r w:rsidR="00EA4FA7" w:rsidRPr="00EA4FA7">
                <w:rPr>
                  <w:rFonts w:ascii="Times New Roman" w:eastAsia="Times New Roman" w:hAnsi="Times New Roman" w:cs="Times New Roman"/>
                  <w:b w:val="0"/>
                  <w:bCs w:val="0"/>
                  <w:color w:val="0000FF"/>
                  <w:sz w:val="20"/>
                  <w:szCs w:val="20"/>
                  <w:rtl/>
                  <w:lang w:eastAsia="fr-FR"/>
                </w:rPr>
                <w:t>روندا</w:t>
              </w:r>
            </w:hyperlink>
          </w:p>
          <w:p w:rsidR="00EA4FA7" w:rsidRPr="00EA4FA7" w:rsidRDefault="00EA4FA7" w:rsidP="00EA4FA7">
            <w:pPr>
              <w:numPr>
                <w:ilvl w:val="0"/>
                <w:numId w:val="6"/>
              </w:numPr>
              <w:bidi/>
              <w:spacing w:before="100" w:beforeAutospacing="1" w:after="100" w:afterAutospacing="1"/>
              <w:jc w:val="both"/>
              <w:rPr>
                <w:rFonts w:ascii="Times New Roman" w:eastAsia="Times New Roman" w:hAnsi="Times New Roman" w:cs="Times New Roman"/>
                <w:b w:val="0"/>
                <w:bCs w:val="0"/>
                <w:sz w:val="24"/>
                <w:szCs w:val="24"/>
                <w:lang w:eastAsia="fr-FR"/>
              </w:rPr>
            </w:pPr>
            <w:r w:rsidRPr="00EA4FA7">
              <w:rPr>
                <w:rFonts w:ascii="Times New Roman" w:eastAsia="Times New Roman" w:hAnsi="Times New Roman" w:cs="Times New Roman"/>
                <w:b w:val="0"/>
                <w:bCs w:val="0"/>
                <w:sz w:val="20"/>
                <w:szCs w:val="20"/>
                <w:rtl/>
                <w:lang w:eastAsia="fr-FR"/>
              </w:rPr>
              <w:t>زمبابوي</w:t>
            </w:r>
          </w:p>
        </w:tc>
        <w:tc>
          <w:tcPr>
            <w:tcW w:w="1699" w:type="dxa"/>
            <w:gridSpan w:val="2"/>
          </w:tcPr>
          <w:p w:rsidR="00EA4FA7" w:rsidRPr="00EA4FA7" w:rsidRDefault="00EA4FA7" w:rsidP="00EA4FA7">
            <w:pPr>
              <w:bidi/>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fr-FR"/>
              </w:rPr>
            </w:pPr>
            <w:r>
              <w:rPr>
                <w:rtl/>
              </w:rPr>
              <w:t>الأردن</w:t>
            </w:r>
          </w:p>
        </w:tc>
        <w:tc>
          <w:tcPr>
            <w:tcW w:w="2218" w:type="dxa"/>
          </w:tcPr>
          <w:p w:rsidR="00EA4FA7" w:rsidRPr="00EA4FA7" w:rsidRDefault="00EA4FA7"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بنغلادش</w:t>
            </w:r>
          </w:p>
          <w:p w:rsidR="00EA4FA7" w:rsidRPr="00EA4FA7" w:rsidRDefault="00EA4FA7"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ماليزيا</w:t>
            </w:r>
          </w:p>
          <w:p w:rsidR="00EA4FA7" w:rsidRPr="00EA4FA7" w:rsidRDefault="0083724E"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27" w:tooltip="Papua New Guinea" w:history="1">
              <w:r w:rsidR="00EA4FA7" w:rsidRPr="00EA4FA7">
                <w:rPr>
                  <w:rFonts w:ascii="Times New Roman" w:eastAsia="Times New Roman" w:hAnsi="Times New Roman" w:cs="Times New Roman"/>
                  <w:color w:val="0000FF"/>
                  <w:sz w:val="20"/>
                  <w:szCs w:val="20"/>
                  <w:rtl/>
                  <w:lang w:eastAsia="fr-FR"/>
                </w:rPr>
                <w:t>بابوا غينيا الجديدة</w:t>
              </w:r>
            </w:hyperlink>
          </w:p>
          <w:p w:rsidR="00EA4FA7" w:rsidRPr="00EA4FA7" w:rsidRDefault="00EA4FA7"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الفلبين</w:t>
            </w:r>
          </w:p>
          <w:p w:rsidR="00EA4FA7" w:rsidRPr="00EA4FA7" w:rsidRDefault="0083724E"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28" w:history="1">
              <w:r w:rsidR="00EA4FA7" w:rsidRPr="00EA4FA7">
                <w:rPr>
                  <w:rFonts w:ascii="Times New Roman" w:eastAsia="Times New Roman" w:hAnsi="Times New Roman" w:cs="Times New Roman"/>
                  <w:color w:val="0000FF"/>
                  <w:sz w:val="20"/>
                  <w:szCs w:val="20"/>
                  <w:rtl/>
                  <w:lang w:eastAsia="fr-FR"/>
                </w:rPr>
                <w:t xml:space="preserve">سري </w:t>
              </w:r>
              <w:proofErr w:type="spellStart"/>
              <w:r w:rsidR="00EA4FA7" w:rsidRPr="00EA4FA7">
                <w:rPr>
                  <w:rFonts w:ascii="Times New Roman" w:eastAsia="Times New Roman" w:hAnsi="Times New Roman" w:cs="Times New Roman"/>
                  <w:color w:val="0000FF"/>
                  <w:sz w:val="20"/>
                  <w:szCs w:val="20"/>
                  <w:rtl/>
                  <w:lang w:eastAsia="fr-FR"/>
                </w:rPr>
                <w:t>لانكا</w:t>
              </w:r>
              <w:proofErr w:type="spellEnd"/>
            </w:hyperlink>
          </w:p>
          <w:p w:rsidR="00EA4FA7" w:rsidRPr="00EA4FA7" w:rsidRDefault="0083724E" w:rsidP="00EA4FA7">
            <w:pPr>
              <w:numPr>
                <w:ilvl w:val="0"/>
                <w:numId w:val="7"/>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hyperlink r:id="rId29" w:history="1">
              <w:r w:rsidR="00EA4FA7" w:rsidRPr="00EA4FA7">
                <w:rPr>
                  <w:rFonts w:ascii="Times New Roman" w:eastAsia="Times New Roman" w:hAnsi="Times New Roman" w:cs="Times New Roman"/>
                  <w:color w:val="0000FF"/>
                  <w:sz w:val="20"/>
                  <w:szCs w:val="20"/>
                  <w:rtl/>
                  <w:lang w:eastAsia="fr-FR"/>
                </w:rPr>
                <w:t>تيمور ليشتي</w:t>
              </w:r>
            </w:hyperlink>
          </w:p>
          <w:p w:rsidR="00EA4FA7" w:rsidRPr="00EA4FA7" w:rsidRDefault="00EA4FA7" w:rsidP="00EA4FA7">
            <w:pPr>
              <w:bidi/>
              <w:spacing w:before="100" w:beforeAutospacing="1" w:after="100" w:afterAutospacing="1"/>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fr-FR"/>
              </w:rPr>
            </w:pPr>
          </w:p>
        </w:tc>
        <w:tc>
          <w:tcPr>
            <w:tcW w:w="1761" w:type="dxa"/>
            <w:gridSpan w:val="2"/>
          </w:tcPr>
          <w:p w:rsidR="00EA4FA7" w:rsidRPr="00EA4FA7" w:rsidRDefault="00EA4FA7"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بيلاروسيا</w:t>
            </w:r>
          </w:p>
          <w:p w:rsidR="00EA4FA7" w:rsidRPr="00EA4FA7" w:rsidRDefault="00EA4FA7"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جمهوريّة مولدوفا</w:t>
            </w:r>
          </w:p>
          <w:p w:rsidR="00EA4FA7" w:rsidRPr="00EA4FA7" w:rsidRDefault="0083724E"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30" w:history="1">
              <w:proofErr w:type="gramStart"/>
              <w:r w:rsidR="00EA4FA7" w:rsidRPr="00EA4FA7">
                <w:rPr>
                  <w:rFonts w:ascii="Times New Roman" w:eastAsia="Times New Roman" w:hAnsi="Times New Roman" w:cs="Times New Roman"/>
                  <w:color w:val="0000FF"/>
                  <w:sz w:val="20"/>
                  <w:szCs w:val="20"/>
                  <w:rtl/>
                  <w:lang w:eastAsia="fr-FR"/>
                </w:rPr>
                <w:t>الاتحاد</w:t>
              </w:r>
              <w:proofErr w:type="gramEnd"/>
              <w:r w:rsidR="00EA4FA7" w:rsidRPr="00EA4FA7">
                <w:rPr>
                  <w:rFonts w:ascii="Times New Roman" w:eastAsia="Times New Roman" w:hAnsi="Times New Roman" w:cs="Times New Roman"/>
                  <w:color w:val="0000FF"/>
                  <w:sz w:val="20"/>
                  <w:szCs w:val="20"/>
                  <w:rtl/>
                  <w:lang w:eastAsia="fr-FR"/>
                </w:rPr>
                <w:t xml:space="preserve"> الروسي</w:t>
              </w:r>
            </w:hyperlink>
          </w:p>
          <w:p w:rsidR="00EA4FA7" w:rsidRPr="00EA4FA7" w:rsidRDefault="00EA4FA7"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صربيا</w:t>
            </w:r>
          </w:p>
          <w:p w:rsidR="00EA4FA7" w:rsidRPr="00EA4FA7" w:rsidRDefault="00EA4FA7"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جنوب القوقاز</w:t>
            </w:r>
          </w:p>
          <w:p w:rsidR="00EA4FA7" w:rsidRPr="00EA4FA7" w:rsidRDefault="00EA4FA7" w:rsidP="00EA4FA7">
            <w:pPr>
              <w:numPr>
                <w:ilvl w:val="0"/>
                <w:numId w:val="8"/>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fr-FR"/>
              </w:rPr>
            </w:pPr>
            <w:r w:rsidRPr="00EA4FA7">
              <w:rPr>
                <w:rFonts w:ascii="Times New Roman" w:eastAsia="Times New Roman" w:hAnsi="Times New Roman" w:cs="Times New Roman"/>
                <w:sz w:val="20"/>
                <w:szCs w:val="20"/>
                <w:rtl/>
                <w:lang w:eastAsia="fr-FR"/>
              </w:rPr>
              <w:t>جمهوريّة مقدونيا اليوغوسلافيّة سابقًا</w:t>
            </w:r>
          </w:p>
        </w:tc>
        <w:tc>
          <w:tcPr>
            <w:tcW w:w="1828" w:type="dxa"/>
            <w:gridSpan w:val="2"/>
          </w:tcPr>
          <w:p w:rsidR="00EA4FA7" w:rsidRPr="00EA4FA7" w:rsidRDefault="00EA4FA7"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الأرجنتين</w:t>
            </w:r>
          </w:p>
          <w:p w:rsidR="00EA4FA7" w:rsidRPr="00EA4FA7" w:rsidRDefault="00EA4FA7"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بربادوس</w:t>
            </w:r>
          </w:p>
          <w:p w:rsidR="00EA4FA7" w:rsidRPr="00EA4FA7" w:rsidRDefault="00EA4FA7"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البرازيل</w:t>
            </w:r>
          </w:p>
          <w:p w:rsidR="00EA4FA7" w:rsidRPr="00EA4FA7" w:rsidRDefault="00EA4FA7"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r w:rsidRPr="00EA4FA7">
              <w:rPr>
                <w:rFonts w:ascii="Times New Roman" w:eastAsia="Times New Roman" w:hAnsi="Times New Roman" w:cs="Times New Roman"/>
                <w:sz w:val="20"/>
                <w:szCs w:val="20"/>
                <w:rtl/>
                <w:lang w:eastAsia="fr-FR"/>
              </w:rPr>
              <w:t xml:space="preserve">الجمهورية </w:t>
            </w:r>
            <w:proofErr w:type="spellStart"/>
            <w:r w:rsidRPr="00EA4FA7">
              <w:rPr>
                <w:rFonts w:ascii="Times New Roman" w:eastAsia="Times New Roman" w:hAnsi="Times New Roman" w:cs="Times New Roman"/>
                <w:sz w:val="20"/>
                <w:szCs w:val="20"/>
                <w:rtl/>
                <w:lang w:eastAsia="fr-FR"/>
              </w:rPr>
              <w:t>الدومينيكيّة</w:t>
            </w:r>
            <w:proofErr w:type="spellEnd"/>
          </w:p>
          <w:p w:rsidR="00EA4FA7" w:rsidRPr="00EA4FA7" w:rsidRDefault="0083724E"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31" w:history="1">
              <w:r w:rsidR="00EA4FA7" w:rsidRPr="00EA4FA7">
                <w:rPr>
                  <w:rFonts w:ascii="Times New Roman" w:eastAsia="Times New Roman" w:hAnsi="Times New Roman" w:cs="Times New Roman"/>
                  <w:color w:val="0000FF"/>
                  <w:sz w:val="20"/>
                  <w:szCs w:val="20"/>
                  <w:rtl/>
                  <w:lang w:eastAsia="fr-FR"/>
                </w:rPr>
                <w:t>الأكوادور</w:t>
              </w:r>
            </w:hyperlink>
          </w:p>
          <w:p w:rsidR="00EA4FA7" w:rsidRPr="00EA4FA7" w:rsidRDefault="0083724E"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32" w:history="1">
              <w:r w:rsidR="00EA4FA7" w:rsidRPr="00EA4FA7">
                <w:rPr>
                  <w:rFonts w:ascii="Times New Roman" w:eastAsia="Times New Roman" w:hAnsi="Times New Roman" w:cs="Times New Roman"/>
                  <w:color w:val="0000FF"/>
                  <w:sz w:val="20"/>
                  <w:szCs w:val="20"/>
                  <w:rtl/>
                  <w:lang w:eastAsia="fr-FR"/>
                </w:rPr>
                <w:t>جاميكا</w:t>
              </w:r>
            </w:hyperlink>
          </w:p>
          <w:p w:rsidR="00EA4FA7" w:rsidRPr="00EA4FA7" w:rsidRDefault="0083724E"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hyperlink r:id="rId33" w:tooltip="Paraguay" w:history="1">
              <w:r w:rsidR="00EA4FA7" w:rsidRPr="00EA4FA7">
                <w:rPr>
                  <w:rFonts w:ascii="Times New Roman" w:eastAsia="Times New Roman" w:hAnsi="Times New Roman" w:cs="Times New Roman"/>
                  <w:color w:val="0000FF"/>
                  <w:sz w:val="20"/>
                  <w:szCs w:val="20"/>
                  <w:rtl/>
                  <w:lang w:eastAsia="fr-FR"/>
                </w:rPr>
                <w:t>الباراغواي</w:t>
              </w:r>
            </w:hyperlink>
          </w:p>
          <w:p w:rsidR="00EA4FA7" w:rsidRPr="00EA4FA7" w:rsidRDefault="00EA4FA7" w:rsidP="00EA4FA7">
            <w:pPr>
              <w:numPr>
                <w:ilvl w:val="0"/>
                <w:numId w:val="9"/>
              </w:num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EA4FA7">
              <w:rPr>
                <w:rFonts w:ascii="Times New Roman" w:eastAsia="Times New Roman" w:hAnsi="Times New Roman" w:cs="Times New Roman"/>
                <w:sz w:val="20"/>
                <w:szCs w:val="20"/>
                <w:rtl/>
                <w:lang w:eastAsia="fr-FR"/>
              </w:rPr>
              <w:t>البيرو</w:t>
            </w:r>
          </w:p>
          <w:p w:rsidR="00EA4FA7" w:rsidRPr="00EA4FA7" w:rsidRDefault="00EA4FA7" w:rsidP="00EA4FA7">
            <w:pPr>
              <w:bidi/>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0"/>
                <w:szCs w:val="20"/>
                <w:rtl/>
              </w:rPr>
            </w:pPr>
          </w:p>
        </w:tc>
      </w:tr>
    </w:tbl>
    <w:p w:rsidR="00EA4FA7" w:rsidRDefault="00EA4FA7" w:rsidP="00EA4FA7">
      <w:pPr>
        <w:pStyle w:val="NormalWeb"/>
        <w:bidi/>
        <w:jc w:val="both"/>
        <w:rPr>
          <w:rFonts w:asciiTheme="majorBidi" w:hAnsiTheme="majorBidi"/>
          <w:sz w:val="28"/>
          <w:szCs w:val="28"/>
          <w:rtl/>
        </w:rPr>
      </w:pPr>
      <w:r w:rsidRPr="00EA4FA7">
        <w:rPr>
          <w:rFonts w:asciiTheme="majorBidi" w:hAnsiTheme="majorBidi" w:cstheme="majorBidi"/>
          <w:b/>
          <w:bCs/>
          <w:sz w:val="28"/>
          <w:szCs w:val="28"/>
        </w:rPr>
        <w:t xml:space="preserve">14 </w:t>
      </w:r>
      <w:r w:rsidRPr="00EA4FA7">
        <w:rPr>
          <w:rFonts w:asciiTheme="majorBidi" w:hAnsiTheme="majorBidi" w:cstheme="majorBidi"/>
          <w:b/>
          <w:bCs/>
          <w:sz w:val="28"/>
          <w:szCs w:val="28"/>
          <w:rtl/>
        </w:rPr>
        <w:t>مكتبًا قطريًّا/ مكتبًا قائمًا بذاته</w:t>
      </w:r>
      <w:r w:rsidRPr="00EA4FA7">
        <w:rPr>
          <w:rFonts w:asciiTheme="majorBidi" w:hAnsiTheme="majorBidi" w:hint="cs"/>
          <w:sz w:val="28"/>
          <w:szCs w:val="28"/>
          <w:rtl/>
        </w:rPr>
        <w:t xml:space="preserve">: </w:t>
      </w:r>
    </w:p>
    <w:p w:rsidR="00EA4FA7" w:rsidRPr="00EA4FA7" w:rsidRDefault="00EA4FA7" w:rsidP="00EA4FA7">
      <w:pPr>
        <w:pStyle w:val="NormalWeb"/>
        <w:bidi/>
        <w:jc w:val="both"/>
        <w:rPr>
          <w:sz w:val="28"/>
          <w:szCs w:val="28"/>
        </w:rPr>
      </w:pPr>
      <w:r w:rsidRPr="00EA4FA7">
        <w:rPr>
          <w:sz w:val="28"/>
          <w:szCs w:val="28"/>
          <w:rtl/>
        </w:rPr>
        <w:t>عند إنشاء المكاتب القطريّة والمكاتب القائمة بذاتها، تتفاوض مفوضيّة الأمم المتّحدة الساميّة لحقوق الإنسان مع الحكومات المضيفة على ولاية كاملة تتضمن حماية حقوق الإنسان وتعزيزها على حدّ سواء. وفي العام 2018، كان للمفوضيّة السامية مكاتب في بوروندي، وتشاد، وكولومبيا، وغواتيمالا، وغينيا وهندوراس وجمهوريّة كوريا وموريتانيا والمكسيك ودولة فلسطين وتونس وأوغندا واليمن</w:t>
      </w:r>
      <w:r w:rsidRPr="00EA4FA7">
        <w:rPr>
          <w:sz w:val="28"/>
          <w:szCs w:val="28"/>
        </w:rPr>
        <w:t>.</w:t>
      </w:r>
    </w:p>
    <w:p w:rsidR="00EA4FA7" w:rsidRPr="00EA4FA7" w:rsidRDefault="00EA4FA7" w:rsidP="00EA4FA7">
      <w:pPr>
        <w:bidi/>
        <w:spacing w:before="100" w:beforeAutospacing="1" w:after="100" w:afterAutospacing="1" w:line="240" w:lineRule="auto"/>
        <w:ind w:firstLine="708"/>
        <w:jc w:val="both"/>
        <w:rPr>
          <w:rFonts w:ascii="Times New Roman" w:eastAsia="Times New Roman" w:hAnsi="Times New Roman" w:cs="Times New Roman"/>
          <w:sz w:val="28"/>
          <w:szCs w:val="28"/>
          <w:rtl/>
          <w:lang w:eastAsia="fr-FR"/>
        </w:rPr>
      </w:pPr>
      <w:r w:rsidRPr="00EA4FA7">
        <w:rPr>
          <w:rFonts w:ascii="Times New Roman" w:eastAsia="Times New Roman" w:hAnsi="Times New Roman" w:cs="Times New Roman"/>
          <w:sz w:val="28"/>
          <w:szCs w:val="28"/>
          <w:rtl/>
          <w:lang w:eastAsia="fr-FR"/>
        </w:rPr>
        <w:lastRenderedPageBreak/>
        <w:t xml:space="preserve">وتتضمن الأنشطة التي تضطلع بها المكاتب القطريّة الرصد، والإبلاغ العلنيّ، وتقديم المساعدة التقنيّة، ورصد القدرات الوطنيّة الطويلة الأجل على معالجة قضايا حقوق الإنسان </w:t>
      </w:r>
      <w:proofErr w:type="gramStart"/>
      <w:r w:rsidRPr="00EA4FA7">
        <w:rPr>
          <w:rFonts w:ascii="Times New Roman" w:eastAsia="Times New Roman" w:hAnsi="Times New Roman" w:cs="Times New Roman"/>
          <w:sz w:val="28"/>
          <w:szCs w:val="28"/>
          <w:rtl/>
          <w:lang w:eastAsia="fr-FR"/>
        </w:rPr>
        <w:t>وتنميتها</w:t>
      </w:r>
      <w:proofErr w:type="gramEnd"/>
      <w:r w:rsidRPr="00EA4FA7">
        <w:rPr>
          <w:rFonts w:ascii="Times New Roman" w:eastAsia="Times New Roman" w:hAnsi="Times New Roman" w:cs="Times New Roman"/>
          <w:sz w:val="28"/>
          <w:szCs w:val="28"/>
          <w:lang w:eastAsia="fr-FR"/>
        </w:rPr>
        <w:t>.</w:t>
      </w:r>
    </w:p>
    <w:p w:rsidR="0078587C" w:rsidRDefault="00EA4FA7" w:rsidP="00EA4FA7">
      <w:pPr>
        <w:pStyle w:val="NormalWeb"/>
        <w:bidi/>
        <w:jc w:val="both"/>
        <w:rPr>
          <w:sz w:val="28"/>
          <w:szCs w:val="28"/>
          <w:rtl/>
        </w:rPr>
      </w:pPr>
      <w:r w:rsidRPr="00EA4FA7">
        <w:rPr>
          <w:b/>
          <w:bCs/>
          <w:sz w:val="28"/>
          <w:szCs w:val="28"/>
          <w:rtl/>
        </w:rPr>
        <w:t>المشاركة في 13 بعثة من بعثات الأمم المتّحدة للسلام</w:t>
      </w:r>
      <w:r w:rsidRPr="00EA4FA7">
        <w:rPr>
          <w:rFonts w:hint="cs"/>
          <w:b/>
          <w:bCs/>
          <w:sz w:val="28"/>
          <w:szCs w:val="28"/>
          <w:rtl/>
        </w:rPr>
        <w:t>:</w:t>
      </w:r>
      <w:r w:rsidRPr="00EA4FA7">
        <w:rPr>
          <w:rFonts w:hint="cs"/>
          <w:sz w:val="28"/>
          <w:szCs w:val="28"/>
          <w:rtl/>
        </w:rPr>
        <w:t xml:space="preserve"> </w:t>
      </w:r>
    </w:p>
    <w:p w:rsidR="00EA4FA7" w:rsidRPr="00EA4FA7" w:rsidRDefault="00EA4FA7" w:rsidP="0078587C">
      <w:pPr>
        <w:pStyle w:val="NormalWeb"/>
        <w:bidi/>
        <w:jc w:val="both"/>
        <w:rPr>
          <w:sz w:val="28"/>
          <w:szCs w:val="28"/>
        </w:rPr>
      </w:pPr>
      <w:proofErr w:type="gramStart"/>
      <w:r w:rsidRPr="00EA4FA7">
        <w:rPr>
          <w:sz w:val="28"/>
          <w:szCs w:val="28"/>
          <w:rtl/>
        </w:rPr>
        <w:t>إنّ</w:t>
      </w:r>
      <w:proofErr w:type="gramEnd"/>
      <w:r w:rsidRPr="00EA4FA7">
        <w:rPr>
          <w:sz w:val="28"/>
          <w:szCs w:val="28"/>
          <w:rtl/>
        </w:rPr>
        <w:t xml:space="preserve"> المفوضيّة السامية لحقوق الإنسان هي الهيئة الرائدة في الأمم المتّحدة التي تعمل على حماية حقوق الإنسان وتعزيزها، ولكن لجميع فعاليّات الأمم المتحدة دور تضطلع به لتعزّز وتحمي حقوق الإنسان من خلال عملياتها. وفي هذا الصدد، تسعى المفوضيّة السامية إلى إدراج حقوق الإنسان في كافة </w:t>
      </w:r>
      <w:proofErr w:type="gramStart"/>
      <w:r w:rsidRPr="00EA4FA7">
        <w:rPr>
          <w:sz w:val="28"/>
          <w:szCs w:val="28"/>
          <w:rtl/>
        </w:rPr>
        <w:t>عناصر</w:t>
      </w:r>
      <w:proofErr w:type="gramEnd"/>
      <w:r w:rsidRPr="00EA4FA7">
        <w:rPr>
          <w:sz w:val="28"/>
          <w:szCs w:val="28"/>
          <w:rtl/>
        </w:rPr>
        <w:t xml:space="preserve"> بعثات الأمم المتّحدة للسلام</w:t>
      </w:r>
      <w:r w:rsidRPr="00EA4FA7">
        <w:rPr>
          <w:sz w:val="28"/>
          <w:szCs w:val="28"/>
        </w:rPr>
        <w:t>.</w:t>
      </w:r>
    </w:p>
    <w:p w:rsidR="00EA4FA7" w:rsidRPr="00EA4FA7" w:rsidRDefault="00EA4FA7" w:rsidP="00EA4FA7">
      <w:pPr>
        <w:bidi/>
        <w:spacing w:before="100" w:beforeAutospacing="1" w:after="100" w:afterAutospacing="1" w:line="240" w:lineRule="auto"/>
        <w:ind w:firstLine="708"/>
        <w:jc w:val="both"/>
        <w:rPr>
          <w:rFonts w:asciiTheme="majorBidi" w:eastAsia="Times New Roman" w:hAnsiTheme="majorBidi" w:cstheme="majorBidi"/>
          <w:sz w:val="28"/>
          <w:szCs w:val="28"/>
          <w:rtl/>
          <w:lang w:eastAsia="fr-FR"/>
        </w:rPr>
      </w:pPr>
      <w:r w:rsidRPr="00EA4FA7">
        <w:rPr>
          <w:rFonts w:ascii="Times New Roman" w:eastAsia="Times New Roman" w:hAnsi="Times New Roman" w:cs="Times New Roman"/>
          <w:sz w:val="28"/>
          <w:szCs w:val="28"/>
          <w:rtl/>
          <w:lang w:eastAsia="fr-FR"/>
        </w:rPr>
        <w:t xml:space="preserve">في العام 2018، دعمت المفوضيّة السامية حوالى 900 موظفًا دوليًّا ووطنيًّا وموظّف دعم في 13 بعثة من بعثات الأمم المتّحدة للسلام في </w:t>
      </w:r>
      <w:hyperlink r:id="rId34" w:history="1">
        <w:r w:rsidRPr="00EA4FA7">
          <w:rPr>
            <w:rFonts w:ascii="Times New Roman" w:eastAsia="Times New Roman" w:hAnsi="Times New Roman" w:cs="Times New Roman"/>
            <w:sz w:val="28"/>
            <w:szCs w:val="28"/>
            <w:u w:val="single"/>
            <w:rtl/>
            <w:lang w:eastAsia="fr-FR"/>
          </w:rPr>
          <w:t>أفغانستان</w:t>
        </w:r>
      </w:hyperlink>
      <w:r w:rsidRPr="00EA4FA7">
        <w:rPr>
          <w:rFonts w:ascii="Times New Roman" w:eastAsia="Times New Roman" w:hAnsi="Times New Roman" w:cs="Times New Roman"/>
          <w:sz w:val="28"/>
          <w:szCs w:val="28"/>
          <w:rtl/>
          <w:lang w:eastAsia="fr-FR"/>
        </w:rPr>
        <w:t xml:space="preserve">، </w:t>
      </w:r>
      <w:hyperlink r:id="rId35" w:history="1">
        <w:r w:rsidRPr="00EA4FA7">
          <w:rPr>
            <w:rFonts w:ascii="Times New Roman" w:eastAsia="Times New Roman" w:hAnsi="Times New Roman" w:cs="Times New Roman"/>
            <w:sz w:val="28"/>
            <w:szCs w:val="28"/>
            <w:u w:val="single"/>
            <w:rtl/>
            <w:lang w:eastAsia="fr-FR"/>
          </w:rPr>
          <w:t>وجمهوريّة إفريقيا الوسطى</w:t>
        </w:r>
      </w:hyperlink>
      <w:r w:rsidRPr="00EA4FA7">
        <w:rPr>
          <w:rFonts w:ascii="Times New Roman" w:eastAsia="Times New Roman" w:hAnsi="Times New Roman" w:cs="Times New Roman"/>
          <w:sz w:val="28"/>
          <w:szCs w:val="28"/>
          <w:rtl/>
          <w:lang w:eastAsia="fr-FR"/>
        </w:rPr>
        <w:t xml:space="preserve">، </w:t>
      </w:r>
      <w:hyperlink r:id="rId36" w:history="1">
        <w:r w:rsidRPr="00EA4FA7">
          <w:rPr>
            <w:rFonts w:ascii="Times New Roman" w:eastAsia="Times New Roman" w:hAnsi="Times New Roman" w:cs="Times New Roman"/>
            <w:sz w:val="28"/>
            <w:szCs w:val="28"/>
            <w:u w:val="single"/>
            <w:rtl/>
            <w:lang w:eastAsia="fr-FR"/>
          </w:rPr>
          <w:t>وجمهوريّة الكونغو الديمقراطيّة</w:t>
        </w:r>
      </w:hyperlink>
      <w:r w:rsidRPr="00EA4FA7">
        <w:rPr>
          <w:rFonts w:ascii="Times New Roman" w:eastAsia="Times New Roman" w:hAnsi="Times New Roman" w:cs="Times New Roman"/>
          <w:sz w:val="28"/>
          <w:szCs w:val="28"/>
          <w:rtl/>
          <w:lang w:eastAsia="fr-FR"/>
        </w:rPr>
        <w:t xml:space="preserve">، </w:t>
      </w:r>
      <w:hyperlink r:id="rId37" w:history="1">
        <w:r w:rsidRPr="00EA4FA7">
          <w:rPr>
            <w:rFonts w:ascii="Times New Roman" w:eastAsia="Times New Roman" w:hAnsi="Times New Roman" w:cs="Times New Roman"/>
            <w:sz w:val="28"/>
            <w:szCs w:val="28"/>
            <w:u w:val="single"/>
            <w:rtl/>
            <w:lang w:eastAsia="fr-FR"/>
          </w:rPr>
          <w:t>وغينيا بيساو</w:t>
        </w:r>
      </w:hyperlink>
      <w:r w:rsidRPr="00EA4FA7">
        <w:rPr>
          <w:rFonts w:ascii="Times New Roman" w:eastAsia="Times New Roman" w:hAnsi="Times New Roman" w:cs="Times New Roman"/>
          <w:sz w:val="28"/>
          <w:szCs w:val="28"/>
          <w:rtl/>
          <w:lang w:eastAsia="fr-FR"/>
        </w:rPr>
        <w:t xml:space="preserve">، </w:t>
      </w:r>
      <w:hyperlink r:id="rId38" w:history="1">
        <w:r w:rsidRPr="00EA4FA7">
          <w:rPr>
            <w:rFonts w:ascii="Times New Roman" w:eastAsia="Times New Roman" w:hAnsi="Times New Roman" w:cs="Times New Roman"/>
            <w:sz w:val="28"/>
            <w:szCs w:val="28"/>
            <w:u w:val="single"/>
            <w:rtl/>
            <w:lang w:eastAsia="fr-FR"/>
          </w:rPr>
          <w:t>وهاييتي</w:t>
        </w:r>
      </w:hyperlink>
      <w:r w:rsidRPr="00EA4FA7">
        <w:rPr>
          <w:rFonts w:ascii="Times New Roman" w:eastAsia="Times New Roman" w:hAnsi="Times New Roman" w:cs="Times New Roman"/>
          <w:sz w:val="28"/>
          <w:szCs w:val="28"/>
          <w:rtl/>
          <w:lang w:eastAsia="fr-FR"/>
        </w:rPr>
        <w:t xml:space="preserve">، </w:t>
      </w:r>
      <w:hyperlink r:id="rId39" w:history="1">
        <w:r w:rsidRPr="00EA4FA7">
          <w:rPr>
            <w:rFonts w:ascii="Times New Roman" w:eastAsia="Times New Roman" w:hAnsi="Times New Roman" w:cs="Times New Roman"/>
            <w:sz w:val="28"/>
            <w:szCs w:val="28"/>
            <w:u w:val="single"/>
            <w:rtl/>
            <w:lang w:eastAsia="fr-FR"/>
          </w:rPr>
          <w:t>والعراق</w:t>
        </w:r>
      </w:hyperlink>
      <w:r w:rsidRPr="00EA4FA7">
        <w:rPr>
          <w:rFonts w:ascii="Times New Roman" w:eastAsia="Times New Roman" w:hAnsi="Times New Roman" w:cs="Times New Roman"/>
          <w:sz w:val="28"/>
          <w:szCs w:val="28"/>
          <w:lang w:eastAsia="fr-FR"/>
        </w:rPr>
        <w:t xml:space="preserve">, </w:t>
      </w:r>
      <w:r w:rsidRPr="00EA4FA7">
        <w:rPr>
          <w:rFonts w:ascii="Times New Roman" w:eastAsia="Times New Roman" w:hAnsi="Times New Roman" w:cs="Times New Roman"/>
          <w:sz w:val="28"/>
          <w:szCs w:val="28"/>
          <w:rtl/>
          <w:lang w:eastAsia="fr-FR"/>
        </w:rPr>
        <w:t xml:space="preserve">وكوسوفو، </w:t>
      </w:r>
      <w:hyperlink r:id="rId40" w:history="1">
        <w:r w:rsidRPr="00EA4FA7">
          <w:rPr>
            <w:rFonts w:ascii="Times New Roman" w:eastAsia="Times New Roman" w:hAnsi="Times New Roman" w:cs="Times New Roman"/>
            <w:sz w:val="28"/>
            <w:szCs w:val="28"/>
            <w:u w:val="single"/>
            <w:rtl/>
            <w:lang w:eastAsia="fr-FR"/>
          </w:rPr>
          <w:t>وليباريا</w:t>
        </w:r>
      </w:hyperlink>
      <w:r w:rsidRPr="00EA4FA7">
        <w:rPr>
          <w:rFonts w:ascii="Times New Roman" w:eastAsia="Times New Roman" w:hAnsi="Times New Roman" w:cs="Times New Roman"/>
          <w:sz w:val="28"/>
          <w:szCs w:val="28"/>
          <w:rtl/>
          <w:lang w:eastAsia="fr-FR"/>
        </w:rPr>
        <w:t xml:space="preserve">، </w:t>
      </w:r>
      <w:hyperlink r:id="rId41" w:tooltip="Libya country page" w:history="1">
        <w:r w:rsidRPr="00EA4FA7">
          <w:rPr>
            <w:rFonts w:ascii="Times New Roman" w:eastAsia="Times New Roman" w:hAnsi="Times New Roman" w:cs="Times New Roman"/>
            <w:sz w:val="28"/>
            <w:szCs w:val="28"/>
            <w:u w:val="single"/>
            <w:rtl/>
            <w:lang w:eastAsia="fr-FR"/>
          </w:rPr>
          <w:t>وليبيا</w:t>
        </w:r>
      </w:hyperlink>
      <w:r w:rsidRPr="00EA4FA7">
        <w:rPr>
          <w:rFonts w:ascii="Times New Roman" w:eastAsia="Times New Roman" w:hAnsi="Times New Roman" w:cs="Times New Roman"/>
          <w:sz w:val="28"/>
          <w:szCs w:val="28"/>
          <w:rtl/>
          <w:lang w:eastAsia="fr-FR"/>
        </w:rPr>
        <w:t xml:space="preserve">، ومالي، </w:t>
      </w:r>
      <w:hyperlink r:id="rId42" w:history="1">
        <w:r w:rsidRPr="00EA4FA7">
          <w:rPr>
            <w:rFonts w:ascii="Times New Roman" w:eastAsia="Times New Roman" w:hAnsi="Times New Roman" w:cs="Times New Roman"/>
            <w:sz w:val="28"/>
            <w:szCs w:val="28"/>
            <w:u w:val="single"/>
            <w:rtl/>
            <w:lang w:eastAsia="fr-FR"/>
          </w:rPr>
          <w:t>والصومال</w:t>
        </w:r>
      </w:hyperlink>
      <w:r w:rsidRPr="00EA4FA7">
        <w:rPr>
          <w:rFonts w:ascii="Times New Roman" w:eastAsia="Times New Roman" w:hAnsi="Times New Roman" w:cs="Times New Roman"/>
          <w:sz w:val="28"/>
          <w:szCs w:val="28"/>
          <w:rtl/>
          <w:lang w:eastAsia="fr-FR"/>
        </w:rPr>
        <w:t xml:space="preserve">، جنوب السودان، </w:t>
      </w:r>
      <w:hyperlink r:id="rId43" w:history="1">
        <w:r w:rsidRPr="00EA4FA7">
          <w:rPr>
            <w:rFonts w:ascii="Times New Roman" w:eastAsia="Times New Roman" w:hAnsi="Times New Roman" w:cs="Times New Roman"/>
            <w:sz w:val="28"/>
            <w:szCs w:val="28"/>
            <w:u w:val="single"/>
            <w:rtl/>
            <w:lang w:eastAsia="fr-FR"/>
          </w:rPr>
          <w:t>والسودان</w:t>
        </w:r>
      </w:hyperlink>
      <w:r w:rsidRPr="00EA4FA7">
        <w:rPr>
          <w:rFonts w:ascii="Times New Roman" w:eastAsia="Times New Roman" w:hAnsi="Times New Roman" w:cs="Times New Roman"/>
          <w:sz w:val="28"/>
          <w:szCs w:val="28"/>
          <w:lang w:eastAsia="fr-FR"/>
        </w:rPr>
        <w:t>.</w:t>
      </w:r>
    </w:p>
    <w:p w:rsidR="00EA4FA7" w:rsidRPr="00EA4FA7" w:rsidRDefault="00EA4FA7" w:rsidP="00EA4FA7">
      <w:pPr>
        <w:pStyle w:val="Titre3"/>
        <w:bidi/>
        <w:jc w:val="both"/>
        <w:rPr>
          <w:rFonts w:asciiTheme="majorBidi" w:hAnsiTheme="majorBidi"/>
          <w:color w:val="auto"/>
          <w:sz w:val="28"/>
          <w:szCs w:val="28"/>
        </w:rPr>
      </w:pPr>
      <w:r w:rsidRPr="00EA4FA7">
        <w:rPr>
          <w:rFonts w:asciiTheme="majorBidi" w:hAnsiTheme="majorBidi"/>
          <w:color w:val="auto"/>
          <w:sz w:val="28"/>
          <w:szCs w:val="28"/>
        </w:rPr>
        <w:t xml:space="preserve">12 </w:t>
      </w:r>
      <w:r w:rsidRPr="00EA4FA7">
        <w:rPr>
          <w:rFonts w:asciiTheme="majorBidi" w:hAnsiTheme="majorBidi"/>
          <w:color w:val="auto"/>
          <w:sz w:val="28"/>
          <w:szCs w:val="28"/>
          <w:rtl/>
        </w:rPr>
        <w:t>مكتبًا ومركزًا إقليميًّا</w:t>
      </w:r>
      <w:r w:rsidR="0078587C">
        <w:rPr>
          <w:rFonts w:asciiTheme="majorBidi" w:hAnsiTheme="majorBidi" w:hint="cs"/>
          <w:color w:val="auto"/>
          <w:sz w:val="28"/>
          <w:szCs w:val="28"/>
          <w:rtl/>
        </w:rPr>
        <w:t xml:space="preserve">: </w:t>
      </w:r>
    </w:p>
    <w:p w:rsidR="00EA4FA7" w:rsidRPr="00EA4FA7" w:rsidRDefault="00EA4FA7" w:rsidP="003B724A">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في العام 2018، كان لمفوضيّة الأمم المتّحدة السامية لحقوق الإنسان 12 مكتبًا إقليميًّا غطّت شرق أفريقيا (أديس أبابا) وجنوب إفريقيا (بريتوريا) وغرب أفريقيا (داكار) وأمريكا الوسطى (مدينة بنما) وأمريكا الجنوبيّة (سانتياغو دي شيلي) وأوروبا (بروكسل) وآسيا الوسطى (بيشكيك) وجنوب شرق آسيا (بانكوك</w:t>
      </w:r>
      <w:r w:rsidRPr="00EA4FA7">
        <w:rPr>
          <w:rFonts w:asciiTheme="majorBidi" w:hAnsiTheme="majorBidi" w:cstheme="majorBidi"/>
          <w:sz w:val="28"/>
          <w:szCs w:val="28"/>
        </w:rPr>
        <w:t xml:space="preserve">) </w:t>
      </w:r>
      <w:r w:rsidRPr="00EA4FA7">
        <w:rPr>
          <w:rFonts w:asciiTheme="majorBidi" w:hAnsiTheme="majorBidi" w:cstheme="majorBidi"/>
          <w:sz w:val="28"/>
          <w:szCs w:val="28"/>
          <w:rtl/>
        </w:rPr>
        <w:t>والمحيط الهادئ (سوفا) والشرق الأوسط وشمال أفريقيا (بيروت). وللمفوضيّة السامية أيضًا مركز إقليمي لحقوق الإنسان والديموقراطيّة لأفريقيا الوسطى في الكاميرون (ياوندي) ومركز التدريب والتوثيق لجنوب غرب آسيا والمنطقة العربيّة في قطر (الدوحة</w:t>
      </w:r>
      <w:r w:rsidRPr="00EA4FA7">
        <w:rPr>
          <w:rFonts w:asciiTheme="majorBidi" w:hAnsiTheme="majorBidi" w:cstheme="majorBidi"/>
          <w:sz w:val="28"/>
          <w:szCs w:val="28"/>
        </w:rPr>
        <w:t xml:space="preserve">). </w:t>
      </w:r>
    </w:p>
    <w:p w:rsidR="00EA4FA7" w:rsidRPr="00EA4FA7" w:rsidRDefault="00EA4FA7" w:rsidP="003B724A">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وللمكاتب الإقليميّة دور حاسم في تعزيز حقوق الإنسان وحمايتها في مناطقها، تؤديه بوسائل من بينها العمل مع الهيئات الإقليميّة، مثل الاتّحاد الأفريقي</w:t>
      </w:r>
      <w:r w:rsidRPr="00EA4FA7">
        <w:rPr>
          <w:rFonts w:asciiTheme="majorBidi" w:hAnsiTheme="majorBidi" w:cstheme="majorBidi"/>
          <w:sz w:val="28"/>
          <w:szCs w:val="28"/>
        </w:rPr>
        <w:t>.</w:t>
      </w:r>
    </w:p>
    <w:p w:rsidR="00EA4FA7" w:rsidRPr="0078587C" w:rsidRDefault="00EA4FA7" w:rsidP="00EA4FA7">
      <w:pPr>
        <w:pStyle w:val="Titre3"/>
        <w:bidi/>
        <w:jc w:val="both"/>
        <w:rPr>
          <w:rFonts w:asciiTheme="majorBidi" w:hAnsiTheme="majorBidi"/>
          <w:color w:val="auto"/>
          <w:sz w:val="28"/>
          <w:szCs w:val="28"/>
        </w:rPr>
      </w:pPr>
      <w:r w:rsidRPr="0078587C">
        <w:rPr>
          <w:rFonts w:asciiTheme="majorBidi" w:hAnsiTheme="majorBidi"/>
          <w:color w:val="auto"/>
          <w:sz w:val="28"/>
          <w:szCs w:val="28"/>
        </w:rPr>
        <w:t xml:space="preserve">27 </w:t>
      </w:r>
      <w:r w:rsidRPr="0078587C">
        <w:rPr>
          <w:rFonts w:asciiTheme="majorBidi" w:hAnsiTheme="majorBidi"/>
          <w:color w:val="auto"/>
          <w:sz w:val="28"/>
          <w:szCs w:val="28"/>
          <w:rtl/>
        </w:rPr>
        <w:t>مستشارًا لحقوق الإنسان</w:t>
      </w:r>
      <w:r w:rsidR="0078587C">
        <w:rPr>
          <w:rFonts w:asciiTheme="majorBidi" w:hAnsiTheme="majorBidi" w:hint="cs"/>
          <w:color w:val="auto"/>
          <w:sz w:val="28"/>
          <w:szCs w:val="28"/>
          <w:rtl/>
        </w:rPr>
        <w:t>:</w:t>
      </w:r>
    </w:p>
    <w:p w:rsidR="00EA4FA7" w:rsidRPr="00EA4FA7" w:rsidRDefault="00EA4FA7" w:rsidP="0078587C">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مستشارو حقوق الإنسان خبراء تنشرهم المفوضيّة السامية في الميدان لدعم الأفرقة القطريّة للأمم المتّحدة بناءً على طلب المنسقين المقيمين للأمم المتّحدة</w:t>
      </w:r>
      <w:r w:rsidRPr="00EA4FA7">
        <w:rPr>
          <w:rFonts w:asciiTheme="majorBidi" w:hAnsiTheme="majorBidi" w:cstheme="majorBidi"/>
          <w:sz w:val="28"/>
          <w:szCs w:val="28"/>
        </w:rPr>
        <w:t xml:space="preserve">. </w:t>
      </w:r>
      <w:r w:rsidRPr="00EA4FA7">
        <w:rPr>
          <w:rFonts w:asciiTheme="majorBidi" w:hAnsiTheme="majorBidi" w:cstheme="majorBidi"/>
          <w:sz w:val="28"/>
          <w:szCs w:val="28"/>
          <w:rtl/>
        </w:rPr>
        <w:t xml:space="preserve">ويتابعون ويحللون وضع حقوق الإنسان في البلد الذي يعملون فيه ويقدمون المشورة إلى المنسق المقيم والفريق القطري ككل بشأن استراتيجيات بناء قدرات الدول ومؤسساتها أو دعمها في مجال تعزيز حقوق الإنسان وحمايتها. </w:t>
      </w:r>
      <w:proofErr w:type="gramStart"/>
      <w:r w:rsidRPr="00EA4FA7">
        <w:rPr>
          <w:rFonts w:asciiTheme="majorBidi" w:hAnsiTheme="majorBidi" w:cstheme="majorBidi"/>
          <w:sz w:val="28"/>
          <w:szCs w:val="28"/>
          <w:rtl/>
        </w:rPr>
        <w:t>ويعملون</w:t>
      </w:r>
      <w:proofErr w:type="gramEnd"/>
      <w:r w:rsidRPr="00EA4FA7">
        <w:rPr>
          <w:rFonts w:asciiTheme="majorBidi" w:hAnsiTheme="majorBidi" w:cstheme="majorBidi"/>
          <w:sz w:val="28"/>
          <w:szCs w:val="28"/>
          <w:rtl/>
        </w:rPr>
        <w:t xml:space="preserve"> مع الجهات الفاعلة الوطنيّة (الحكومات والمجتمع المدني) حول كيفيّة القيام على أفضل نحو بتعزيز معايير حقوق الإنسان وتنفيذها. وفي العام 2018، كان لدى مفوضيّة الأمم المتّحدة السامية لحقوق الإنسان 27 مستشارًا في الأرجنتين، وبنغلاديش، وبربادوس (فريق الأمم المتّحدة الإقليميّ لبربادوس وبلدان شرق الكاريبي)، وبيلاروسيا، والبرازيل، والجمهورية </w:t>
      </w:r>
      <w:proofErr w:type="spellStart"/>
      <w:r w:rsidRPr="00EA4FA7">
        <w:rPr>
          <w:rFonts w:asciiTheme="majorBidi" w:hAnsiTheme="majorBidi" w:cstheme="majorBidi"/>
          <w:sz w:val="28"/>
          <w:szCs w:val="28"/>
          <w:rtl/>
        </w:rPr>
        <w:t>الدومينيكية</w:t>
      </w:r>
      <w:proofErr w:type="spellEnd"/>
      <w:r w:rsidRPr="00EA4FA7">
        <w:rPr>
          <w:rFonts w:asciiTheme="majorBidi" w:hAnsiTheme="majorBidi" w:cstheme="majorBidi"/>
          <w:sz w:val="28"/>
          <w:szCs w:val="28"/>
          <w:rtl/>
        </w:rPr>
        <w:t xml:space="preserve">، والإكوادور، وجمهوريّة مقدونيا اليوغوسلافيّة السابقة، والأردن، وكينيا، ومدغشقر، ومالاوي، وماليزيا، ومولدوفا، ونيجريا، وبابوا غينيا الجديدة، والبارغواي، والبيرو، والفلبين، وروسيا، ورواندا، وصربيا، وجنوب القوقاز </w:t>
      </w:r>
      <w:r w:rsidRPr="00EA4FA7">
        <w:rPr>
          <w:rFonts w:asciiTheme="majorBidi" w:hAnsiTheme="majorBidi" w:cstheme="majorBidi"/>
          <w:sz w:val="28"/>
          <w:szCs w:val="28"/>
        </w:rPr>
        <w:t>(</w:t>
      </w:r>
      <w:r w:rsidRPr="00EA4FA7">
        <w:rPr>
          <w:rFonts w:asciiTheme="majorBidi" w:hAnsiTheme="majorBidi" w:cstheme="majorBidi"/>
          <w:sz w:val="28"/>
          <w:szCs w:val="28"/>
          <w:rtl/>
        </w:rPr>
        <w:t xml:space="preserve">تبليسي)، وسري </w:t>
      </w:r>
      <w:proofErr w:type="spellStart"/>
      <w:r w:rsidRPr="00EA4FA7">
        <w:rPr>
          <w:rFonts w:asciiTheme="majorBidi" w:hAnsiTheme="majorBidi" w:cstheme="majorBidi"/>
          <w:sz w:val="28"/>
          <w:szCs w:val="28"/>
          <w:rtl/>
        </w:rPr>
        <w:t>لانكا</w:t>
      </w:r>
      <w:proofErr w:type="spellEnd"/>
      <w:r w:rsidRPr="00EA4FA7">
        <w:rPr>
          <w:rFonts w:asciiTheme="majorBidi" w:hAnsiTheme="majorBidi" w:cstheme="majorBidi"/>
          <w:sz w:val="28"/>
          <w:szCs w:val="28"/>
          <w:rtl/>
        </w:rPr>
        <w:t>، وتيمور ليشتي، وجامايكا وزيمبابوي</w:t>
      </w:r>
      <w:r w:rsidRPr="00EA4FA7">
        <w:rPr>
          <w:rFonts w:asciiTheme="majorBidi" w:hAnsiTheme="majorBidi" w:cstheme="majorBidi"/>
          <w:sz w:val="28"/>
          <w:szCs w:val="28"/>
        </w:rPr>
        <w:t xml:space="preserve">. </w:t>
      </w:r>
    </w:p>
    <w:p w:rsidR="00EA4FA7" w:rsidRPr="0078587C" w:rsidRDefault="00EA4FA7" w:rsidP="00EA4FA7">
      <w:pPr>
        <w:pStyle w:val="Titre3"/>
        <w:bidi/>
        <w:jc w:val="both"/>
        <w:rPr>
          <w:rFonts w:asciiTheme="majorBidi" w:hAnsiTheme="majorBidi"/>
          <w:color w:val="auto"/>
          <w:sz w:val="28"/>
          <w:szCs w:val="28"/>
        </w:rPr>
      </w:pPr>
      <w:r w:rsidRPr="0078587C">
        <w:rPr>
          <w:rFonts w:asciiTheme="majorBidi" w:hAnsiTheme="majorBidi"/>
          <w:color w:val="auto"/>
          <w:sz w:val="28"/>
          <w:szCs w:val="28"/>
          <w:rtl/>
        </w:rPr>
        <w:lastRenderedPageBreak/>
        <w:t>الاستجابة السريعة لمواجهة الأزمات الناشئة في مجال حقوق الإنسان</w:t>
      </w:r>
      <w:r w:rsidR="0078587C">
        <w:rPr>
          <w:rFonts w:asciiTheme="majorBidi" w:hAnsiTheme="majorBidi" w:hint="cs"/>
          <w:color w:val="auto"/>
          <w:sz w:val="28"/>
          <w:szCs w:val="28"/>
          <w:rtl/>
        </w:rPr>
        <w:t>:</w:t>
      </w:r>
    </w:p>
    <w:p w:rsidR="00EA4FA7" w:rsidRPr="00EA4FA7" w:rsidRDefault="00EA4FA7" w:rsidP="0078587C">
      <w:pPr>
        <w:pStyle w:val="NormalWeb"/>
        <w:bidi/>
        <w:ind w:firstLine="708"/>
        <w:jc w:val="both"/>
        <w:rPr>
          <w:rFonts w:asciiTheme="majorBidi" w:hAnsiTheme="majorBidi" w:cstheme="majorBidi"/>
          <w:sz w:val="28"/>
          <w:szCs w:val="28"/>
        </w:rPr>
      </w:pPr>
      <w:proofErr w:type="gramStart"/>
      <w:r w:rsidRPr="0078587C">
        <w:rPr>
          <w:rFonts w:asciiTheme="majorBidi" w:hAnsiTheme="majorBidi" w:cstheme="majorBidi"/>
          <w:b/>
          <w:bCs/>
          <w:sz w:val="28"/>
          <w:szCs w:val="28"/>
          <w:rtl/>
        </w:rPr>
        <w:t>تدعم</w:t>
      </w:r>
      <w:proofErr w:type="gramEnd"/>
      <w:r w:rsidRPr="0078587C">
        <w:rPr>
          <w:rFonts w:asciiTheme="majorBidi" w:hAnsiTheme="majorBidi" w:cstheme="majorBidi"/>
          <w:b/>
          <w:bCs/>
          <w:sz w:val="28"/>
          <w:szCs w:val="28"/>
          <w:rtl/>
        </w:rPr>
        <w:t xml:space="preserve"> وحدة الاستجابة السريعة التابعة إلى مفوضيّة الأمم المتّحدة السامية لحقوق الإنسان أعمال المفوضيّة بالنشر السريع للموظفين في الميدان. وتدير الوحدة قائمة داخليّة بالموظفين الذين يمكن نشرهم بسرعة في حالات الطوارئ في مجال حقوق الإنسان والمجال الإنساني، ويمكنهم توفير قدرة تعزيزيّة للمكاتب الميدانيّة التابعة إلى المفوضية السامية لحقوق الإنسان</w:t>
      </w:r>
      <w:r w:rsidRPr="00EA4FA7">
        <w:rPr>
          <w:rFonts w:asciiTheme="majorBidi" w:hAnsiTheme="majorBidi" w:cstheme="majorBidi"/>
          <w:sz w:val="28"/>
          <w:szCs w:val="28"/>
          <w:rtl/>
        </w:rPr>
        <w:t>. وبناءً على طلب الدول الأعضاء، غالبًا ما تُنشئ المفوضيّة أو تدعم بعثات لتقصي الحقائق ولجان تحقيق تنظر في الادعاءات الخطيرة المتعلقة بانتهاكات وخروقات حقوق الإنسان</w:t>
      </w:r>
      <w:r w:rsidRPr="00EA4FA7">
        <w:rPr>
          <w:rFonts w:asciiTheme="majorBidi" w:hAnsiTheme="majorBidi" w:cstheme="majorBidi"/>
          <w:sz w:val="28"/>
          <w:szCs w:val="28"/>
        </w:rPr>
        <w:t>.</w:t>
      </w:r>
    </w:p>
    <w:p w:rsidR="00EA4FA7" w:rsidRPr="00EA4FA7" w:rsidRDefault="00EA4FA7" w:rsidP="0078587C">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وقد قامت وحدة الاستجابة السريعة في الآونة الأخيرة بإنشاء، أو تنسيق إنشاء، بعثات لتقصي الحقائق أو لجان تحقيق، كَلَف مجلس حقوق الإنسان بإنشائها، بشأن الأراضي الفلسطينيّة المحتلّة وجمهورية كوريا الشعبيّة الديمقراطية حول الأحداث التي وقعت في كاساي، وجنوب السودان، وبوروندي، وميانمار؛ بالإضافة إلى لجنة التحقيق بشأن ماليّ كلف الأمين العام بإنشائها</w:t>
      </w:r>
      <w:r w:rsidRPr="00EA4FA7">
        <w:rPr>
          <w:rFonts w:asciiTheme="majorBidi" w:hAnsiTheme="majorBidi" w:cstheme="majorBidi"/>
          <w:sz w:val="28"/>
          <w:szCs w:val="28"/>
        </w:rPr>
        <w:t xml:space="preserve">. </w:t>
      </w:r>
    </w:p>
    <w:p w:rsidR="00EA4FA7" w:rsidRPr="00EA4FA7" w:rsidRDefault="00EA4FA7" w:rsidP="0078587C">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وتدير وحدة الاستجابة السريعة صندوق الطوارئ الذي أنشئ من أجل تنفيذ أولويّات المفوّض الساميّ واستراتيجيّاته ردًا على حالات الطوارئ الخاصة بحقوق الإنسان من خلال نشر الموظّفين وتأمين الدعم اللوجستي</w:t>
      </w:r>
      <w:r w:rsidRPr="00EA4FA7">
        <w:rPr>
          <w:rFonts w:asciiTheme="majorBidi" w:hAnsiTheme="majorBidi" w:cstheme="majorBidi"/>
          <w:sz w:val="28"/>
          <w:szCs w:val="28"/>
        </w:rPr>
        <w:t xml:space="preserve">. </w:t>
      </w:r>
    </w:p>
    <w:p w:rsidR="00EA4FA7" w:rsidRPr="00EA4FA7" w:rsidRDefault="00EA4FA7" w:rsidP="0078587C">
      <w:pPr>
        <w:pStyle w:val="NormalWeb"/>
        <w:bidi/>
        <w:ind w:firstLine="708"/>
        <w:jc w:val="both"/>
        <w:rPr>
          <w:rFonts w:asciiTheme="majorBidi" w:hAnsiTheme="majorBidi" w:cstheme="majorBidi"/>
          <w:sz w:val="28"/>
          <w:szCs w:val="28"/>
        </w:rPr>
      </w:pPr>
      <w:r w:rsidRPr="00EA4FA7">
        <w:rPr>
          <w:rFonts w:asciiTheme="majorBidi" w:hAnsiTheme="majorBidi" w:cstheme="majorBidi"/>
          <w:sz w:val="28"/>
          <w:szCs w:val="28"/>
          <w:rtl/>
        </w:rPr>
        <w:t>وفي العام 2017، استخدمت مفوضيّة الأمم المتّحدة السامية لحقوق الإنسان صندوق الطوارئ لنشر الموظّفين في البلدان والمناطق التالية</w:t>
      </w:r>
      <w:r w:rsidRPr="00EA4FA7">
        <w:rPr>
          <w:rFonts w:asciiTheme="majorBidi" w:hAnsiTheme="majorBidi" w:cstheme="majorBidi"/>
          <w:sz w:val="28"/>
          <w:szCs w:val="28"/>
        </w:rPr>
        <w:t xml:space="preserve">: </w:t>
      </w:r>
      <w:r w:rsidRPr="00EA4FA7">
        <w:rPr>
          <w:rFonts w:asciiTheme="majorBidi" w:hAnsiTheme="majorBidi" w:cstheme="majorBidi"/>
          <w:sz w:val="28"/>
          <w:szCs w:val="28"/>
          <w:rtl/>
        </w:rPr>
        <w:t xml:space="preserve">في أنغولا من أجل رصد انتهاكات حقوق الإنسان المرتكبة في كاساي في جمهوريّة كونغو الديمقراطيّة؛ في بنغلادش من أجل رصد انتهاكات حقوق الإنسان بحقّ مجتمع </w:t>
      </w:r>
      <w:proofErr w:type="spellStart"/>
      <w:r w:rsidRPr="00EA4FA7">
        <w:rPr>
          <w:rFonts w:asciiTheme="majorBidi" w:hAnsiTheme="majorBidi" w:cstheme="majorBidi"/>
          <w:sz w:val="28"/>
          <w:szCs w:val="28"/>
          <w:rtl/>
        </w:rPr>
        <w:t>الروهينغيا</w:t>
      </w:r>
      <w:proofErr w:type="spellEnd"/>
      <w:r w:rsidRPr="00EA4FA7">
        <w:rPr>
          <w:rFonts w:asciiTheme="majorBidi" w:hAnsiTheme="majorBidi" w:cstheme="majorBidi"/>
          <w:sz w:val="28"/>
          <w:szCs w:val="28"/>
          <w:rtl/>
        </w:rPr>
        <w:t xml:space="preserve"> في ولايات ميانمار </w:t>
      </w:r>
      <w:proofErr w:type="spellStart"/>
      <w:r w:rsidRPr="00EA4FA7">
        <w:rPr>
          <w:rFonts w:asciiTheme="majorBidi" w:hAnsiTheme="majorBidi" w:cstheme="majorBidi"/>
          <w:sz w:val="28"/>
          <w:szCs w:val="28"/>
          <w:rtl/>
        </w:rPr>
        <w:t>ويانغون</w:t>
      </w:r>
      <w:proofErr w:type="spellEnd"/>
      <w:r w:rsidRPr="00EA4FA7">
        <w:rPr>
          <w:rFonts w:asciiTheme="majorBidi" w:hAnsiTheme="majorBidi" w:cstheme="majorBidi"/>
          <w:sz w:val="28"/>
          <w:szCs w:val="28"/>
          <w:rtl/>
        </w:rPr>
        <w:t xml:space="preserve"> </w:t>
      </w:r>
      <w:proofErr w:type="spellStart"/>
      <w:r w:rsidRPr="00EA4FA7">
        <w:rPr>
          <w:rFonts w:asciiTheme="majorBidi" w:hAnsiTheme="majorBidi" w:cstheme="majorBidi"/>
          <w:sz w:val="28"/>
          <w:szCs w:val="28"/>
          <w:rtl/>
        </w:rPr>
        <w:t>وراخين</w:t>
      </w:r>
      <w:proofErr w:type="spellEnd"/>
      <w:r w:rsidRPr="00EA4FA7">
        <w:rPr>
          <w:rFonts w:asciiTheme="majorBidi" w:hAnsiTheme="majorBidi" w:cstheme="majorBidi"/>
          <w:sz w:val="28"/>
          <w:szCs w:val="28"/>
          <w:rtl/>
        </w:rPr>
        <w:t>؛ في قطر من أجل جمع المعلومات حول تبعات أزمة الخليج؛ في غواتيمالا من أجل مساعدة المكتب القطري على رصد أزمة نظام رعاية الأطفال؛ في هندوراس من أجل مساعدة المكتب القطري على رصد أعقاب الأزمة التي تلت الانتخابات؛ في موريتانيا من أجل تعزيز الخبرة في مجال حقوق الإنسان في السياق الإنسانيّ؛ والرصد عن بعد لوضع حقوق الإنسان في فنزويلا</w:t>
      </w:r>
      <w:r w:rsidRPr="00EA4FA7">
        <w:rPr>
          <w:rFonts w:asciiTheme="majorBidi" w:hAnsiTheme="majorBidi" w:cstheme="majorBidi"/>
          <w:sz w:val="28"/>
          <w:szCs w:val="28"/>
        </w:rPr>
        <w:t xml:space="preserve">. </w:t>
      </w:r>
    </w:p>
    <w:p w:rsidR="00EA4FA7" w:rsidRPr="002B68D7" w:rsidRDefault="00EA4FA7" w:rsidP="002B68D7">
      <w:pPr>
        <w:pStyle w:val="NormalWeb"/>
        <w:bidi/>
        <w:ind w:firstLine="708"/>
        <w:jc w:val="both"/>
        <w:rPr>
          <w:rFonts w:asciiTheme="majorBidi" w:hAnsiTheme="majorBidi" w:cstheme="majorBidi"/>
          <w:sz w:val="28"/>
          <w:szCs w:val="28"/>
          <w:rtl/>
        </w:rPr>
      </w:pPr>
      <w:r w:rsidRPr="00EA4FA7">
        <w:rPr>
          <w:rFonts w:asciiTheme="majorBidi" w:hAnsiTheme="majorBidi" w:cstheme="majorBidi"/>
          <w:sz w:val="28"/>
          <w:szCs w:val="28"/>
          <w:rtl/>
        </w:rPr>
        <w:t xml:space="preserve">وفي العام 2018، تمّ نشر الموظّفين من أجل رصد تدهور وضع حقوق الإنسان في نيكارغوا والإكوادور؛ وفي كوكس بازار في بنغلادش، من أجل تقديم المشورة إلى منظّمات حقوق الإنسان التي تقدّم المساعدة إلى اللاجئين من </w:t>
      </w:r>
      <w:proofErr w:type="spellStart"/>
      <w:r w:rsidRPr="00EA4FA7">
        <w:rPr>
          <w:rFonts w:asciiTheme="majorBidi" w:hAnsiTheme="majorBidi" w:cstheme="majorBidi"/>
          <w:sz w:val="28"/>
          <w:szCs w:val="28"/>
          <w:rtl/>
        </w:rPr>
        <w:t>الروهنغيا</w:t>
      </w:r>
      <w:proofErr w:type="spellEnd"/>
      <w:r w:rsidR="0078587C">
        <w:rPr>
          <w:rStyle w:val="Appelnotedebasdep"/>
          <w:rFonts w:asciiTheme="majorBidi" w:hAnsiTheme="majorBidi" w:cstheme="majorBidi"/>
          <w:sz w:val="28"/>
          <w:szCs w:val="28"/>
          <w:rtl/>
        </w:rPr>
        <w:footnoteReference w:id="4"/>
      </w:r>
      <w:r w:rsidRPr="00EA4FA7">
        <w:rPr>
          <w:rFonts w:asciiTheme="majorBidi" w:hAnsiTheme="majorBidi" w:cstheme="majorBidi"/>
          <w:sz w:val="28"/>
          <w:szCs w:val="28"/>
        </w:rPr>
        <w:t xml:space="preserve">. </w:t>
      </w:r>
    </w:p>
    <w:p w:rsidR="002B68D7" w:rsidRPr="002B68D7" w:rsidRDefault="002B68D7" w:rsidP="002B68D7">
      <w:pPr>
        <w:pStyle w:val="Titre3"/>
        <w:bidi/>
        <w:jc w:val="both"/>
        <w:rPr>
          <w:color w:val="auto"/>
          <w:sz w:val="28"/>
          <w:szCs w:val="28"/>
        </w:rPr>
      </w:pPr>
      <w:proofErr w:type="gramStart"/>
      <w:r w:rsidRPr="002B68D7">
        <w:rPr>
          <w:color w:val="auto"/>
          <w:sz w:val="28"/>
          <w:szCs w:val="28"/>
          <w:rtl/>
        </w:rPr>
        <w:t>التمويل</w:t>
      </w:r>
      <w:proofErr w:type="gramEnd"/>
      <w:r w:rsidRPr="002B68D7">
        <w:rPr>
          <w:color w:val="auto"/>
          <w:sz w:val="28"/>
          <w:szCs w:val="28"/>
          <w:rtl/>
        </w:rPr>
        <w:t xml:space="preserve"> </w:t>
      </w:r>
      <w:r w:rsidR="002F5CCB">
        <w:rPr>
          <w:rFonts w:hint="cs"/>
          <w:color w:val="auto"/>
          <w:sz w:val="28"/>
          <w:szCs w:val="28"/>
          <w:rtl/>
        </w:rPr>
        <w:t>و الميزانية</w:t>
      </w:r>
    </w:p>
    <w:p w:rsidR="002B68D7" w:rsidRPr="002B68D7" w:rsidRDefault="002B68D7" w:rsidP="002B68D7">
      <w:pPr>
        <w:pStyle w:val="NormalWeb"/>
        <w:bidi/>
        <w:ind w:firstLine="708"/>
        <w:jc w:val="both"/>
        <w:rPr>
          <w:sz w:val="28"/>
          <w:szCs w:val="28"/>
        </w:rPr>
      </w:pPr>
      <w:r w:rsidRPr="002B68D7">
        <w:rPr>
          <w:sz w:val="28"/>
          <w:szCs w:val="28"/>
          <w:rtl/>
        </w:rPr>
        <w:t xml:space="preserve">تغطّي المساهمات الطوعيّة التي تقدّمها الدول الأعضاء والجهات المانحة الأخرى، حوالى ثُلُثَي دخل مفوضيّة الأمم المتّحدة السامية لحقوق الإنسان. </w:t>
      </w:r>
      <w:proofErr w:type="gramStart"/>
      <w:r w:rsidRPr="002B68D7">
        <w:rPr>
          <w:sz w:val="28"/>
          <w:szCs w:val="28"/>
          <w:rtl/>
        </w:rPr>
        <w:t>أما</w:t>
      </w:r>
      <w:proofErr w:type="gramEnd"/>
      <w:r w:rsidRPr="002B68D7">
        <w:rPr>
          <w:sz w:val="28"/>
          <w:szCs w:val="28"/>
          <w:rtl/>
        </w:rPr>
        <w:t xml:space="preserve"> باقي الدخل فتغطّيه ميزانية الأمم المتّحدة العادية</w:t>
      </w:r>
      <w:r w:rsidRPr="002B68D7">
        <w:rPr>
          <w:sz w:val="28"/>
          <w:szCs w:val="28"/>
        </w:rPr>
        <w:t xml:space="preserve">. </w:t>
      </w:r>
      <w:r>
        <w:rPr>
          <w:rFonts w:hint="cs"/>
          <w:sz w:val="28"/>
          <w:szCs w:val="28"/>
          <w:rtl/>
        </w:rPr>
        <w:t xml:space="preserve"> </w:t>
      </w:r>
      <w:r w:rsidRPr="002B68D7">
        <w:rPr>
          <w:sz w:val="28"/>
          <w:szCs w:val="28"/>
          <w:rtl/>
        </w:rPr>
        <w:t xml:space="preserve">ويتم تمويل ميزانية الأمم المتّحدة العادية، التي تقرّها الجمعية العامة، عبر </w:t>
      </w:r>
      <w:r w:rsidRPr="002B68D7">
        <w:rPr>
          <w:sz w:val="28"/>
          <w:szCs w:val="28"/>
        </w:rPr>
        <w:t>"</w:t>
      </w:r>
      <w:r w:rsidRPr="002B68D7">
        <w:rPr>
          <w:sz w:val="28"/>
          <w:szCs w:val="28"/>
          <w:rtl/>
        </w:rPr>
        <w:t>اشتراكات مقرّرة" تسدّدها كلّ دولة عضو، وتُحدَّد وفقًا لصيغة تأخذ في الاعتبار حجم الاقتصاد الوطني في كلّ دولة وقوّته</w:t>
      </w:r>
      <w:r w:rsidRPr="002B68D7">
        <w:rPr>
          <w:sz w:val="28"/>
          <w:szCs w:val="28"/>
        </w:rPr>
        <w:t xml:space="preserve">. </w:t>
      </w:r>
    </w:p>
    <w:p w:rsidR="002B68D7" w:rsidRPr="002B68D7" w:rsidRDefault="002B68D7" w:rsidP="002B68D7">
      <w:pPr>
        <w:pStyle w:val="NormalWeb"/>
        <w:bidi/>
        <w:ind w:firstLine="708"/>
        <w:jc w:val="both"/>
        <w:rPr>
          <w:sz w:val="28"/>
          <w:szCs w:val="28"/>
        </w:rPr>
      </w:pPr>
      <w:r w:rsidRPr="002B68D7">
        <w:rPr>
          <w:sz w:val="28"/>
          <w:szCs w:val="28"/>
          <w:rtl/>
        </w:rPr>
        <w:lastRenderedPageBreak/>
        <w:t xml:space="preserve">والميزانية العادية للعام 2020 هي أوّل ميزانية سنوية يتم إعدادها وفقًا لبرنامج الإصلاح الإداري الذي اعتمدته الأمم المتحدة. </w:t>
      </w:r>
      <w:proofErr w:type="gramStart"/>
      <w:r w:rsidRPr="002B68D7">
        <w:rPr>
          <w:sz w:val="28"/>
          <w:szCs w:val="28"/>
          <w:rtl/>
        </w:rPr>
        <w:t>ففي</w:t>
      </w:r>
      <w:proofErr w:type="gramEnd"/>
      <w:r w:rsidRPr="002B68D7">
        <w:rPr>
          <w:sz w:val="28"/>
          <w:szCs w:val="28"/>
          <w:rtl/>
        </w:rPr>
        <w:t xml:space="preserve"> الواقع، وافقت الجمعية العامة خلال دورتها الثانية والسبعين على التغيير المقترح والانتقال من دورة ميزانية لفترة سنتين إلى دورة ميزانية سنوية على أساس تجريبي انطلاقًا من العام 2020. وستستعرض الجمعية العامة تنفيذ الميزانية السنوية خلال </w:t>
      </w:r>
      <w:proofErr w:type="gramStart"/>
      <w:r w:rsidRPr="002B68D7">
        <w:rPr>
          <w:sz w:val="28"/>
          <w:szCs w:val="28"/>
          <w:rtl/>
        </w:rPr>
        <w:t>دورتها</w:t>
      </w:r>
      <w:proofErr w:type="gramEnd"/>
      <w:r w:rsidRPr="002B68D7">
        <w:rPr>
          <w:sz w:val="28"/>
          <w:szCs w:val="28"/>
          <w:rtl/>
        </w:rPr>
        <w:t xml:space="preserve"> السابعة والسبعين المنعقدة في أيلول/ سبتمبر 2022 بهدف اتّخاذ قرار نهائي بهذا الشأن</w:t>
      </w:r>
      <w:r>
        <w:rPr>
          <w:rFonts w:hint="cs"/>
          <w:sz w:val="28"/>
          <w:szCs w:val="28"/>
          <w:rtl/>
        </w:rPr>
        <w:t>.</w:t>
      </w:r>
      <w:r w:rsidRPr="002B68D7">
        <w:rPr>
          <w:sz w:val="28"/>
          <w:szCs w:val="28"/>
        </w:rPr>
        <w:t xml:space="preserve"> </w:t>
      </w:r>
    </w:p>
    <w:p w:rsidR="002B68D7" w:rsidRPr="002B68D7" w:rsidRDefault="002B68D7" w:rsidP="002B68D7">
      <w:pPr>
        <w:pStyle w:val="NormalWeb"/>
        <w:bidi/>
        <w:ind w:firstLine="708"/>
        <w:jc w:val="both"/>
        <w:rPr>
          <w:sz w:val="28"/>
          <w:szCs w:val="28"/>
        </w:rPr>
      </w:pPr>
      <w:r>
        <w:rPr>
          <w:rFonts w:hint="cs"/>
          <w:sz w:val="28"/>
          <w:szCs w:val="28"/>
          <w:rtl/>
        </w:rPr>
        <w:t xml:space="preserve">و </w:t>
      </w:r>
      <w:r w:rsidRPr="002B68D7">
        <w:rPr>
          <w:sz w:val="28"/>
          <w:szCs w:val="28"/>
          <w:rtl/>
        </w:rPr>
        <w:t>يجدر بميزانيّة الأمم المتّحدة العاديّة أن تموّل كافة الأنشطة التي تنشئها ولاية الجمعيّة العامة والهيئات الفرعيّة، بما في ذلك مجلس حقوق الإنسان. وحقوق الإنسان من المسؤوليّات التي تنصّ عليها شرعة الأمم المتّحدة وتُعتَبَر إحدى الركائز الثلاث التي تقوم عليها منظومتها، إلى جانب التنمية، والسلم والأمن. ويؤكّد برنامج الأمين العام "حقوق الإنسان أوّلاً" والنداء إلى العمل من أجل حقوق الإنسان بصورة جليّة، أهميّة حقوق الإنسان المحوريّة بالنسبة إلى عمل الأمانة العامة للأمم المتّحدة ككلّ</w:t>
      </w:r>
      <w:r w:rsidRPr="002B68D7">
        <w:rPr>
          <w:sz w:val="28"/>
          <w:szCs w:val="28"/>
        </w:rPr>
        <w:t xml:space="preserve">. </w:t>
      </w:r>
    </w:p>
    <w:p w:rsidR="002B68D7" w:rsidRPr="002B68D7" w:rsidRDefault="002B68D7" w:rsidP="002B68D7">
      <w:pPr>
        <w:pStyle w:val="NormalWeb"/>
        <w:bidi/>
        <w:ind w:firstLine="708"/>
        <w:jc w:val="both"/>
        <w:rPr>
          <w:sz w:val="28"/>
          <w:szCs w:val="28"/>
        </w:rPr>
      </w:pPr>
      <w:r w:rsidRPr="002B68D7">
        <w:rPr>
          <w:sz w:val="28"/>
          <w:szCs w:val="28"/>
          <w:rtl/>
        </w:rPr>
        <w:t>وعلى الرغم من ذلك، لا تخصّص الميزانيّة العاديّة إلاّ نسبة لا تُذكَر من الموارد المخصّصة للركائز الثلاث من أجل تمويل حقوق الإنسان. فمع توجيه حوالى نصف موارد الميزانية العادية إلى هذه الركائز الثلاث، لا تتلقى حقوق الإنسان إلاّ 3,7 في المائة من ميزانية الأمم المتّحدة العادية. وبعبارة أخرى أكثر تحديدًا، خصّصت ميزانية الأمم المتّحدة العادية 7,7 في المائة لركيزة حقوق الإنسان من أصل 51,7 في المائة من إجمالي موارد الميزانية العادية المخصّصة لركائز منظومة الأمم المتحدة الثلاث، وذلك من دون احتساب الأموال التي خصصتها لمكونات حقوق الإنسان في عمليات حفظ السلام. وقد بلغت مخصّصات الميزانية العادية الأوّلية للمفوضيّة في العام 2020 مبلغ 116,4 مليون دولار أميركي، مقارنةً بالمخصّصات النهائيّة التي بلغت 105,6 مليون دولار أميركي في العام 2019</w:t>
      </w:r>
      <w:r w:rsidRPr="002B68D7">
        <w:rPr>
          <w:sz w:val="28"/>
          <w:szCs w:val="28"/>
        </w:rPr>
        <w:t>.</w:t>
      </w:r>
    </w:p>
    <w:p w:rsidR="002B68D7" w:rsidRPr="002B68D7" w:rsidRDefault="002B68D7" w:rsidP="002B68D7">
      <w:pPr>
        <w:pStyle w:val="Titre3"/>
        <w:bidi/>
        <w:jc w:val="both"/>
        <w:rPr>
          <w:sz w:val="28"/>
          <w:szCs w:val="28"/>
        </w:rPr>
      </w:pPr>
      <w:r w:rsidRPr="002B68D7">
        <w:rPr>
          <w:color w:val="auto"/>
          <w:sz w:val="28"/>
          <w:szCs w:val="28"/>
          <w:rtl/>
        </w:rPr>
        <w:t xml:space="preserve">تعتمد مفوضيّة الأمم المتّحدة السامية لحقوق الإنسان بشكل كبير على المساهمات الطوعيّة </w:t>
      </w:r>
    </w:p>
    <w:p w:rsidR="002B68D7" w:rsidRPr="002B68D7" w:rsidRDefault="002B68D7" w:rsidP="002B68D7">
      <w:pPr>
        <w:pStyle w:val="NormalWeb"/>
        <w:bidi/>
        <w:ind w:firstLine="708"/>
        <w:jc w:val="both"/>
        <w:rPr>
          <w:sz w:val="28"/>
          <w:szCs w:val="28"/>
        </w:rPr>
      </w:pPr>
      <w:proofErr w:type="gramStart"/>
      <w:r w:rsidRPr="002B68D7">
        <w:rPr>
          <w:sz w:val="28"/>
          <w:szCs w:val="28"/>
          <w:rtl/>
        </w:rPr>
        <w:t>كرّست</w:t>
      </w:r>
      <w:proofErr w:type="gramEnd"/>
      <w:r w:rsidRPr="002B68D7">
        <w:rPr>
          <w:sz w:val="28"/>
          <w:szCs w:val="28"/>
          <w:rtl/>
        </w:rPr>
        <w:t xml:space="preserve"> الميزانية العادية للعام 2020 استمراريّة "النمو الصفري" السائد منذ سنوات، كما حملت عددًا من التخفيضات الشاملة التي قرّرتها الجمعية العامة</w:t>
      </w:r>
      <w:r w:rsidRPr="002B68D7">
        <w:rPr>
          <w:sz w:val="28"/>
          <w:szCs w:val="28"/>
        </w:rPr>
        <w:t xml:space="preserve">. </w:t>
      </w:r>
      <w:r w:rsidRPr="002B68D7">
        <w:rPr>
          <w:sz w:val="28"/>
          <w:szCs w:val="28"/>
          <w:rtl/>
        </w:rPr>
        <w:t>وبالتالي، وعلى الرغم من استمرار الولايات الرسمية لحقوق الإنسان في النمو من حيث العدد والنطاق، وطلب الدول الأعضاء رسميًا النظر في زيادة حصّة الميزانية المخصّصة لحقوق الإنسان، فإن مستوى الموارد المخصّصة لبرنامج حقوق الإنسان آخذ في الانخفاض. ونتيجة لذلك، تواصل مفوضيّة الأمم المتّحدة السامية لحقوق الإنسان الاعتماد بشكل كبير على المساهمات الطوعية لتمويل 23 في المائة من أنشطة كان من المفترض أن تموّلها الميزانية العادية، لا سيّما عمل هيئة المعاهدات والإجراءات الخاصة</w:t>
      </w:r>
      <w:r w:rsidRPr="002B68D7">
        <w:rPr>
          <w:sz w:val="28"/>
          <w:szCs w:val="28"/>
        </w:rPr>
        <w:t xml:space="preserve">. </w:t>
      </w:r>
    </w:p>
    <w:p w:rsidR="002B68D7" w:rsidRPr="002F5CCB" w:rsidRDefault="002B68D7" w:rsidP="002F5CCB">
      <w:pPr>
        <w:pStyle w:val="NormalWeb"/>
        <w:bidi/>
        <w:ind w:firstLine="708"/>
        <w:jc w:val="both"/>
        <w:rPr>
          <w:sz w:val="28"/>
          <w:szCs w:val="28"/>
          <w:rtl/>
        </w:rPr>
      </w:pPr>
      <w:r w:rsidRPr="002B68D7">
        <w:rPr>
          <w:sz w:val="28"/>
          <w:szCs w:val="28"/>
          <w:rtl/>
        </w:rPr>
        <w:t>وتؤدّي الصعوبات على مستوى التدفق النقدي بسبب تأخّر الدول الأعضاء في تسديد الاشتراكات المقررة وتوقيت المخصصات، إلى تفاقم هذه الأوضاع المالية الصعبة أصلاً</w:t>
      </w:r>
      <w:r w:rsidRPr="002B68D7">
        <w:rPr>
          <w:sz w:val="28"/>
          <w:szCs w:val="28"/>
        </w:rPr>
        <w:t xml:space="preserve">. </w:t>
      </w:r>
      <w:r w:rsidRPr="002B68D7">
        <w:rPr>
          <w:sz w:val="28"/>
          <w:szCs w:val="28"/>
          <w:rtl/>
        </w:rPr>
        <w:t>وعلى الرغم من أنّ الموافقة على معظم الموارد اللازمة للولايات الجديدة التي يعتمدها مجلس حقوق الإنسان تجري بصورة سنوية، إلاّ أنّ التأخّر في عرضها على الجمعية العامة يعني أن المفوضية مضطرة إلى الاعتماد على الموارد المتوفّرة لتغطية الأنشطة الجديدة ضمن إطار زمني فوري. ومع انتقال الأمانة العامة للأمم المتحدة إلى ميزانية س</w:t>
      </w:r>
      <w:r w:rsidR="000E3B9B">
        <w:rPr>
          <w:sz w:val="28"/>
          <w:szCs w:val="28"/>
          <w:rtl/>
        </w:rPr>
        <w:t>نوية، ستزداد هذه المسألة تعقيدً</w:t>
      </w:r>
      <w:r w:rsidR="000E3B9B">
        <w:rPr>
          <w:rFonts w:hint="cs"/>
          <w:sz w:val="28"/>
          <w:szCs w:val="28"/>
          <w:rtl/>
        </w:rPr>
        <w:t>ا</w:t>
      </w:r>
      <w:r w:rsidR="000E3B9B">
        <w:rPr>
          <w:rStyle w:val="Appelnotedebasdep"/>
          <w:sz w:val="28"/>
          <w:szCs w:val="28"/>
          <w:rtl/>
        </w:rPr>
        <w:footnoteReference w:id="5"/>
      </w:r>
      <w:r w:rsidR="000E3B9B">
        <w:rPr>
          <w:rFonts w:hint="cs"/>
          <w:sz w:val="28"/>
          <w:szCs w:val="28"/>
          <w:rtl/>
        </w:rPr>
        <w:t>.</w:t>
      </w:r>
      <w:r w:rsidRPr="002B68D7">
        <w:rPr>
          <w:sz w:val="28"/>
          <w:szCs w:val="28"/>
        </w:rPr>
        <w:t xml:space="preserve"> </w:t>
      </w:r>
    </w:p>
    <w:p w:rsidR="00527803" w:rsidRDefault="002F5CCB" w:rsidP="00527803">
      <w:pPr>
        <w:pStyle w:val="Titre3"/>
        <w:bidi/>
        <w:jc w:val="both"/>
        <w:rPr>
          <w:color w:val="auto"/>
          <w:sz w:val="28"/>
          <w:szCs w:val="28"/>
          <w:rtl/>
        </w:rPr>
      </w:pPr>
      <w:r w:rsidRPr="002F5CCB">
        <w:rPr>
          <w:color w:val="auto"/>
          <w:sz w:val="28"/>
          <w:szCs w:val="28"/>
          <w:rtl/>
        </w:rPr>
        <w:lastRenderedPageBreak/>
        <w:t xml:space="preserve">التقارير السنوية، والنداءات والخطط </w:t>
      </w:r>
    </w:p>
    <w:p w:rsidR="002F5CCB" w:rsidRPr="00907F2A" w:rsidRDefault="002F5CCB" w:rsidP="00527803">
      <w:pPr>
        <w:pStyle w:val="Titre3"/>
        <w:bidi/>
        <w:ind w:firstLine="708"/>
        <w:jc w:val="both"/>
        <w:rPr>
          <w:b w:val="0"/>
          <w:bCs w:val="0"/>
          <w:color w:val="auto"/>
          <w:sz w:val="28"/>
          <w:szCs w:val="28"/>
        </w:rPr>
      </w:pPr>
      <w:r w:rsidRPr="00527803">
        <w:rPr>
          <w:b w:val="0"/>
          <w:bCs w:val="0"/>
          <w:color w:val="auto"/>
          <w:sz w:val="28"/>
          <w:szCs w:val="28"/>
          <w:rtl/>
        </w:rPr>
        <w:t xml:space="preserve">تنشر مفوضيّة الأمم المتّحدة السامية لحقوق الإنسان تقريرًا سنويًا يعرض الإنجازات التي حقّقتها خلال الأشهر الـ12 الأخيرة. وتتمّ مقارنته مع خطّة </w:t>
      </w:r>
      <w:r w:rsidRPr="00907F2A">
        <w:rPr>
          <w:b w:val="0"/>
          <w:bCs w:val="0"/>
          <w:color w:val="auto"/>
          <w:sz w:val="28"/>
          <w:szCs w:val="28"/>
          <w:rtl/>
        </w:rPr>
        <w:t xml:space="preserve">الإدارة </w:t>
      </w:r>
      <w:bookmarkStart w:id="0" w:name="_GoBack"/>
      <w:bookmarkEnd w:id="0"/>
      <w:r w:rsidRPr="00907F2A">
        <w:rPr>
          <w:b w:val="0"/>
          <w:bCs w:val="0"/>
          <w:color w:val="auto"/>
          <w:sz w:val="28"/>
          <w:szCs w:val="28"/>
          <w:rtl/>
        </w:rPr>
        <w:t>المُعتَمَدة. و</w:t>
      </w:r>
      <w:r w:rsidRPr="00907F2A">
        <w:rPr>
          <w:rFonts w:hint="cs"/>
          <w:b w:val="0"/>
          <w:bCs w:val="0"/>
          <w:color w:val="auto"/>
          <w:sz w:val="28"/>
          <w:szCs w:val="28"/>
          <w:rtl/>
        </w:rPr>
        <w:t>ت</w:t>
      </w:r>
      <w:r w:rsidRPr="00907F2A">
        <w:rPr>
          <w:b w:val="0"/>
          <w:bCs w:val="0"/>
          <w:color w:val="auto"/>
          <w:sz w:val="28"/>
          <w:szCs w:val="28"/>
          <w:rtl/>
        </w:rPr>
        <w:t xml:space="preserve">نشر </w:t>
      </w:r>
      <w:r w:rsidRPr="00527803">
        <w:rPr>
          <w:b w:val="0"/>
          <w:bCs w:val="0"/>
          <w:color w:val="auto"/>
          <w:sz w:val="28"/>
          <w:szCs w:val="28"/>
          <w:rtl/>
        </w:rPr>
        <w:t xml:space="preserve">أيضًا نداءً سنويًا للحصول على تمويل إضافي طوعي من أجل تلبية </w:t>
      </w:r>
      <w:r w:rsidRPr="00907F2A">
        <w:rPr>
          <w:b w:val="0"/>
          <w:bCs w:val="0"/>
          <w:color w:val="auto"/>
          <w:sz w:val="28"/>
          <w:szCs w:val="28"/>
          <w:rtl/>
        </w:rPr>
        <w:t>الطلب المتزايد باستمرار على دعم</w:t>
      </w:r>
      <w:r w:rsidRPr="00907F2A">
        <w:rPr>
          <w:rFonts w:hint="cs"/>
          <w:b w:val="0"/>
          <w:bCs w:val="0"/>
          <w:color w:val="auto"/>
          <w:sz w:val="28"/>
          <w:szCs w:val="28"/>
          <w:rtl/>
        </w:rPr>
        <w:t>ه</w:t>
      </w:r>
      <w:r w:rsidRPr="00907F2A">
        <w:rPr>
          <w:b w:val="0"/>
          <w:bCs w:val="0"/>
          <w:color w:val="auto"/>
          <w:sz w:val="28"/>
          <w:szCs w:val="28"/>
          <w:rtl/>
        </w:rPr>
        <w:t>ا</w:t>
      </w:r>
      <w:r w:rsidRPr="00907F2A">
        <w:rPr>
          <w:rStyle w:val="Appelnotedebasdep"/>
          <w:b w:val="0"/>
          <w:bCs w:val="0"/>
          <w:color w:val="auto"/>
          <w:sz w:val="28"/>
          <w:szCs w:val="28"/>
          <w:rtl/>
        </w:rPr>
        <w:footnoteReference w:id="6"/>
      </w:r>
      <w:r w:rsidRPr="00907F2A">
        <w:rPr>
          <w:rFonts w:hint="cs"/>
          <w:b w:val="0"/>
          <w:bCs w:val="0"/>
          <w:color w:val="auto"/>
          <w:sz w:val="28"/>
          <w:szCs w:val="28"/>
          <w:rtl/>
        </w:rPr>
        <w:t>.</w:t>
      </w:r>
      <w:r w:rsidRPr="00907F2A">
        <w:rPr>
          <w:b w:val="0"/>
          <w:bCs w:val="0"/>
          <w:color w:val="auto"/>
          <w:sz w:val="28"/>
          <w:szCs w:val="28"/>
        </w:rPr>
        <w:t xml:space="preserve"> </w:t>
      </w:r>
    </w:p>
    <w:p w:rsidR="00527803" w:rsidRPr="00907F2A" w:rsidRDefault="00527803" w:rsidP="002F5CCB">
      <w:pPr>
        <w:pStyle w:val="NormalWeb"/>
        <w:bidi/>
        <w:jc w:val="both"/>
        <w:rPr>
          <w:sz w:val="28"/>
          <w:szCs w:val="28"/>
          <w:rtl/>
        </w:rPr>
      </w:pPr>
    </w:p>
    <w:p w:rsidR="00527803" w:rsidRPr="00527803" w:rsidRDefault="00527803" w:rsidP="00527803">
      <w:pPr>
        <w:rPr>
          <w:rtl/>
          <w:lang w:eastAsia="fr-FR"/>
        </w:rPr>
      </w:pPr>
    </w:p>
    <w:p w:rsidR="00527803" w:rsidRPr="00527803" w:rsidRDefault="00527803" w:rsidP="00527803">
      <w:pPr>
        <w:rPr>
          <w:rtl/>
          <w:lang w:eastAsia="fr-FR"/>
        </w:rPr>
      </w:pPr>
    </w:p>
    <w:p w:rsidR="00527803" w:rsidRPr="00527803" w:rsidRDefault="00527803" w:rsidP="00527803">
      <w:pPr>
        <w:rPr>
          <w:rtl/>
          <w:lang w:eastAsia="fr-FR"/>
        </w:rPr>
      </w:pPr>
    </w:p>
    <w:p w:rsidR="00527803" w:rsidRPr="00527803" w:rsidRDefault="00527803" w:rsidP="00527803">
      <w:pPr>
        <w:rPr>
          <w:rtl/>
          <w:lang w:eastAsia="fr-FR"/>
        </w:rPr>
      </w:pPr>
    </w:p>
    <w:p w:rsidR="00527803" w:rsidRDefault="00527803" w:rsidP="00527803">
      <w:pPr>
        <w:rPr>
          <w:rtl/>
          <w:lang w:eastAsia="fr-FR"/>
        </w:rPr>
      </w:pPr>
    </w:p>
    <w:p w:rsidR="002F5CCB" w:rsidRPr="00527803" w:rsidRDefault="00527803" w:rsidP="00527803">
      <w:pPr>
        <w:tabs>
          <w:tab w:val="left" w:pos="3150"/>
        </w:tabs>
        <w:rPr>
          <w:rtl/>
          <w:lang w:eastAsia="fr-FR"/>
        </w:rPr>
      </w:pPr>
      <w:r>
        <w:rPr>
          <w:lang w:eastAsia="fr-FR"/>
        </w:rPr>
        <w:tab/>
      </w:r>
    </w:p>
    <w:sectPr w:rsidR="002F5CCB" w:rsidRPr="00527803">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4E" w:rsidRDefault="0083724E" w:rsidP="0078587C">
      <w:pPr>
        <w:spacing w:after="0" w:line="240" w:lineRule="auto"/>
      </w:pPr>
      <w:r>
        <w:separator/>
      </w:r>
    </w:p>
  </w:endnote>
  <w:endnote w:type="continuationSeparator" w:id="0">
    <w:p w:rsidR="0083724E" w:rsidRDefault="0083724E" w:rsidP="0078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03" w:rsidRDefault="00527803" w:rsidP="00527803">
    <w:pPr>
      <w:pStyle w:val="Pieddepage"/>
      <w:pBdr>
        <w:top w:val="thinThickSmallGap" w:sz="24" w:space="1" w:color="622423" w:themeColor="accent2" w:themeShade="7F"/>
      </w:pBdr>
      <w:bidi/>
      <w:jc w:val="both"/>
      <w:rPr>
        <w:rFonts w:asciiTheme="majorHAnsi" w:eastAsiaTheme="majorEastAsia" w:hAnsiTheme="majorHAnsi" w:cstheme="majorBidi"/>
        <w:rtl/>
      </w:rPr>
    </w:pPr>
    <w:r>
      <w:rPr>
        <w:rFonts w:asciiTheme="majorHAnsi" w:eastAsiaTheme="majorEastAsia" w:hAnsiTheme="majorHAnsi" w:cstheme="majorBidi" w:hint="cs"/>
        <w:rtl/>
      </w:rPr>
      <w:t>مجموعة محاضرات لطلبة السنة الثانية ماستر/تعاون دولي                                                     السنة الجامعية 2021/2022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527803" w:rsidRDefault="00527803" w:rsidP="00527803">
    <w:pPr>
      <w:pStyle w:val="Pieddepage"/>
      <w:pBdr>
        <w:top w:val="thinThickSmallGap" w:sz="24" w:space="1" w:color="622423" w:themeColor="accent2" w:themeShade="7F"/>
      </w:pBdr>
      <w:bidi/>
      <w:jc w:val="both"/>
      <w:rPr>
        <w:rFonts w:asciiTheme="majorHAnsi" w:eastAsiaTheme="majorEastAsia" w:hAnsiTheme="majorHAnsi" w:cstheme="majorBidi"/>
      </w:rPr>
    </w:pPr>
    <w:r>
      <w:rPr>
        <w:rFonts w:asciiTheme="majorHAnsi" w:eastAsiaTheme="majorEastAsia" w:hAnsiTheme="majorHAnsi" w:cstheme="majorBidi" w:hint="cs"/>
        <w:rtl/>
      </w:rPr>
      <w:t xml:space="preserve">من إعداد الأستاذ/ صويلح مولود                                  جامعة محمد الصديق بن </w:t>
    </w:r>
    <w:proofErr w:type="spellStart"/>
    <w:r>
      <w:rPr>
        <w:rFonts w:asciiTheme="majorHAnsi" w:eastAsiaTheme="majorEastAsia" w:hAnsiTheme="majorHAnsi" w:cstheme="majorBidi" w:hint="cs"/>
        <w:rtl/>
      </w:rPr>
      <w:t>يحى</w:t>
    </w:r>
    <w:proofErr w:type="spellEnd"/>
    <w:r>
      <w:rPr>
        <w:rFonts w:asciiTheme="majorHAnsi" w:eastAsiaTheme="majorEastAsia" w:hAnsiTheme="majorHAnsi" w:cstheme="majorBidi" w:hint="cs"/>
        <w:rtl/>
      </w:rPr>
      <w:t xml:space="preserve">- جيجل                                    </w:t>
    </w:r>
    <w:r>
      <w:rPr>
        <w:rFonts w:eastAsiaTheme="minorEastAsia"/>
      </w:rPr>
      <w:fldChar w:fldCharType="begin"/>
    </w:r>
    <w:r>
      <w:instrText>PAGE   \* MERGEFORMAT</w:instrText>
    </w:r>
    <w:r>
      <w:rPr>
        <w:rFonts w:eastAsiaTheme="minorEastAsia"/>
      </w:rPr>
      <w:fldChar w:fldCharType="separate"/>
    </w:r>
    <w:r w:rsidR="00907F2A" w:rsidRPr="00907F2A">
      <w:rPr>
        <w:rFonts w:asciiTheme="majorHAnsi" w:eastAsiaTheme="majorEastAsia" w:hAnsiTheme="majorHAnsi" w:cstheme="majorBidi"/>
        <w:noProof/>
        <w:rtl/>
      </w:rPr>
      <w:t>1</w:t>
    </w:r>
    <w:r>
      <w:rPr>
        <w:rFonts w:asciiTheme="majorHAnsi" w:eastAsiaTheme="majorEastAsia" w:hAnsiTheme="majorHAnsi" w:cstheme="majorBidi"/>
      </w:rPr>
      <w:fldChar w:fldCharType="end"/>
    </w:r>
  </w:p>
  <w:p w:rsidR="00527803" w:rsidRDefault="00527803" w:rsidP="00527803">
    <w:pPr>
      <w:pStyle w:val="Pieddepage"/>
    </w:pPr>
  </w:p>
  <w:p w:rsidR="00527803" w:rsidRPr="00527803" w:rsidRDefault="00527803" w:rsidP="005278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4E" w:rsidRDefault="0083724E" w:rsidP="0078587C">
      <w:pPr>
        <w:spacing w:after="0" w:line="240" w:lineRule="auto"/>
      </w:pPr>
      <w:r>
        <w:separator/>
      </w:r>
    </w:p>
  </w:footnote>
  <w:footnote w:type="continuationSeparator" w:id="0">
    <w:p w:rsidR="0083724E" w:rsidRDefault="0083724E" w:rsidP="0078587C">
      <w:pPr>
        <w:spacing w:after="0" w:line="240" w:lineRule="auto"/>
      </w:pPr>
      <w:r>
        <w:continuationSeparator/>
      </w:r>
    </w:p>
  </w:footnote>
  <w:footnote w:id="1">
    <w:p w:rsidR="002B68D7" w:rsidRPr="003B724A" w:rsidRDefault="002B68D7" w:rsidP="003B724A">
      <w:pPr>
        <w:pStyle w:val="Notedebasdepage"/>
        <w:bidi/>
        <w:jc w:val="both"/>
        <w:rPr>
          <w:rtl/>
          <w:lang w:bidi="ar-DZ"/>
        </w:rPr>
      </w:pPr>
      <w:r>
        <w:rPr>
          <w:rStyle w:val="Appelnotedebasdep"/>
        </w:rPr>
        <w:footnoteRef/>
      </w:r>
      <w:r>
        <w:t xml:space="preserve"> </w:t>
      </w:r>
      <w:r w:rsidRPr="003B724A">
        <w:rPr>
          <w:rtl/>
          <w:lang w:bidi="ar-DZ"/>
        </w:rPr>
        <w:t>مكتب المفوّض السامي لحقوق الإنسان التابع للأمم المتحدة</w:t>
      </w:r>
      <w:r w:rsidRPr="003B724A">
        <w:rPr>
          <w:rFonts w:hint="cs"/>
          <w:rtl/>
          <w:lang w:bidi="ar-DZ"/>
        </w:rPr>
        <w:t>،</w:t>
      </w:r>
      <w:r>
        <w:rPr>
          <w:rFonts w:hint="cs"/>
          <w:b/>
          <w:bCs/>
          <w:rtl/>
          <w:lang w:bidi="ar-DZ"/>
        </w:rPr>
        <w:t xml:space="preserve"> </w:t>
      </w:r>
      <w:proofErr w:type="gramStart"/>
      <w:r>
        <w:rPr>
          <w:rFonts w:hint="cs"/>
          <w:b/>
          <w:bCs/>
          <w:rtl/>
          <w:lang w:bidi="ar-DZ"/>
        </w:rPr>
        <w:t>من</w:t>
      </w:r>
      <w:proofErr w:type="gramEnd"/>
      <w:r>
        <w:rPr>
          <w:rFonts w:hint="cs"/>
          <w:b/>
          <w:bCs/>
          <w:rtl/>
          <w:lang w:bidi="ar-DZ"/>
        </w:rPr>
        <w:t xml:space="preserve"> نحن. </w:t>
      </w:r>
      <w:proofErr w:type="gramStart"/>
      <w:r>
        <w:rPr>
          <w:rFonts w:hint="cs"/>
          <w:b/>
          <w:bCs/>
          <w:rtl/>
          <w:lang w:bidi="ar-DZ"/>
        </w:rPr>
        <w:t>لمحة</w:t>
      </w:r>
      <w:proofErr w:type="gramEnd"/>
      <w:r>
        <w:rPr>
          <w:rFonts w:hint="cs"/>
          <w:b/>
          <w:bCs/>
          <w:rtl/>
          <w:lang w:bidi="ar-DZ"/>
        </w:rPr>
        <w:t xml:space="preserve"> عامة، </w:t>
      </w:r>
      <w:r>
        <w:rPr>
          <w:rFonts w:hint="cs"/>
          <w:rtl/>
          <w:lang w:bidi="ar-DZ"/>
        </w:rPr>
        <w:t xml:space="preserve">مفوضية حقوق الإنسان 1996-2019، </w:t>
      </w:r>
      <w:hyperlink r:id="rId1" w:history="1">
        <w:r w:rsidRPr="00F67E41">
          <w:rPr>
            <w:rStyle w:val="Lienhypertexte"/>
            <w:lang w:bidi="ar-DZ"/>
          </w:rPr>
          <w:t>https://www.ohchr.org/AR/AboutUs/Pages/WhoWeAre.aspx</w:t>
        </w:r>
      </w:hyperlink>
      <w:r>
        <w:rPr>
          <w:rFonts w:hint="cs"/>
          <w:rtl/>
          <w:lang w:bidi="ar-DZ"/>
        </w:rPr>
        <w:t>، تاريخ التصفّح: 19/11/2021.</w:t>
      </w:r>
    </w:p>
  </w:footnote>
  <w:footnote w:id="2">
    <w:p w:rsidR="002B68D7" w:rsidRPr="003B724A" w:rsidRDefault="002B68D7" w:rsidP="003B724A">
      <w:pPr>
        <w:pStyle w:val="Titre2"/>
        <w:bidi/>
        <w:jc w:val="both"/>
        <w:rPr>
          <w:rFonts w:asciiTheme="minorHAnsi" w:hAnsiTheme="minorHAnsi"/>
          <w:sz w:val="20"/>
          <w:szCs w:val="20"/>
        </w:rPr>
      </w:pPr>
      <w:r w:rsidRPr="003B724A">
        <w:rPr>
          <w:rStyle w:val="Appelnotedebasdep"/>
          <w:rFonts w:asciiTheme="minorHAnsi" w:hAnsiTheme="minorHAnsi"/>
          <w:b w:val="0"/>
          <w:bCs w:val="0"/>
          <w:sz w:val="20"/>
          <w:szCs w:val="20"/>
        </w:rPr>
        <w:footnoteRef/>
      </w:r>
      <w:r w:rsidRPr="003B724A">
        <w:rPr>
          <w:rFonts w:asciiTheme="minorHAnsi" w:hAnsiTheme="minorHAnsi"/>
          <w:b w:val="0"/>
          <w:bCs w:val="0"/>
          <w:sz w:val="20"/>
          <w:szCs w:val="20"/>
        </w:rPr>
        <w:t xml:space="preserve"> </w:t>
      </w:r>
      <w:r w:rsidRPr="003B724A">
        <w:rPr>
          <w:rFonts w:asciiTheme="minorHAnsi" w:hAnsiTheme="minorHAnsi"/>
          <w:b w:val="0"/>
          <w:bCs w:val="0"/>
          <w:sz w:val="20"/>
          <w:szCs w:val="20"/>
          <w:rtl/>
          <w:lang w:bidi="ar-DZ"/>
        </w:rPr>
        <w:t xml:space="preserve">مكتب </w:t>
      </w:r>
      <w:proofErr w:type="gramStart"/>
      <w:r w:rsidRPr="003B724A">
        <w:rPr>
          <w:rFonts w:asciiTheme="minorHAnsi" w:hAnsiTheme="minorHAnsi"/>
          <w:b w:val="0"/>
          <w:bCs w:val="0"/>
          <w:sz w:val="20"/>
          <w:szCs w:val="20"/>
          <w:rtl/>
          <w:lang w:bidi="ar-DZ"/>
        </w:rPr>
        <w:t>المفوّض</w:t>
      </w:r>
      <w:proofErr w:type="gramEnd"/>
      <w:r w:rsidRPr="003B724A">
        <w:rPr>
          <w:rFonts w:asciiTheme="minorHAnsi" w:hAnsiTheme="minorHAnsi"/>
          <w:b w:val="0"/>
          <w:bCs w:val="0"/>
          <w:sz w:val="20"/>
          <w:szCs w:val="20"/>
          <w:rtl/>
          <w:lang w:bidi="ar-DZ"/>
        </w:rPr>
        <w:t xml:space="preserve"> السامي لحقوق الإنسان التابع للأمم المتحدة، </w:t>
      </w:r>
      <w:r w:rsidRPr="003B724A">
        <w:rPr>
          <w:rFonts w:asciiTheme="minorHAnsi" w:hAnsiTheme="minorHAnsi"/>
          <w:sz w:val="20"/>
          <w:szCs w:val="20"/>
          <w:rtl/>
        </w:rPr>
        <w:t>لمحة تاريخيّة عن مفوضيّة الأمم المتّحدة السامية لحقوق الإنسان</w:t>
      </w:r>
      <w:r w:rsidRPr="003B724A">
        <w:rPr>
          <w:rFonts w:asciiTheme="minorHAnsi" w:hAnsiTheme="minorHAnsi" w:hint="cs"/>
          <w:sz w:val="20"/>
          <w:szCs w:val="20"/>
          <w:rtl/>
        </w:rPr>
        <w:t>،</w:t>
      </w:r>
      <w:r>
        <w:rPr>
          <w:rFonts w:asciiTheme="minorHAnsi" w:hAnsiTheme="minorHAnsi" w:hint="cs"/>
          <w:sz w:val="20"/>
          <w:szCs w:val="20"/>
          <w:rtl/>
        </w:rPr>
        <w:t xml:space="preserve"> </w:t>
      </w:r>
      <w:r>
        <w:rPr>
          <w:rFonts w:asciiTheme="minorHAnsi" w:hAnsiTheme="minorHAnsi" w:hint="cs"/>
          <w:b w:val="0"/>
          <w:bCs w:val="0"/>
          <w:sz w:val="20"/>
          <w:szCs w:val="20"/>
          <w:rtl/>
        </w:rPr>
        <w:t xml:space="preserve">مفوضية حقوق الإنسان 1996-2019، </w:t>
      </w:r>
      <w:hyperlink r:id="rId2" w:history="1">
        <w:r w:rsidRPr="00F67E41">
          <w:rPr>
            <w:rStyle w:val="Lienhypertexte"/>
            <w:rFonts w:asciiTheme="minorHAnsi" w:hAnsiTheme="minorHAnsi"/>
            <w:b w:val="0"/>
            <w:bCs w:val="0"/>
            <w:sz w:val="20"/>
            <w:szCs w:val="20"/>
          </w:rPr>
          <w:t>https://www.ohchr.org/AR/AboutUs/Pages/BriefHistory.aspx</w:t>
        </w:r>
      </w:hyperlink>
      <w:r>
        <w:rPr>
          <w:rFonts w:asciiTheme="minorHAnsi" w:hAnsiTheme="minorHAnsi" w:hint="cs"/>
          <w:b w:val="0"/>
          <w:bCs w:val="0"/>
          <w:sz w:val="20"/>
          <w:szCs w:val="20"/>
          <w:rtl/>
        </w:rPr>
        <w:t>، تاريخ التصفّح: 19/11/2021.</w:t>
      </w:r>
      <w:r w:rsidRPr="003B724A">
        <w:rPr>
          <w:rFonts w:asciiTheme="minorHAnsi" w:hAnsiTheme="minorHAnsi" w:hint="cs"/>
          <w:sz w:val="20"/>
          <w:szCs w:val="20"/>
          <w:rtl/>
        </w:rPr>
        <w:t xml:space="preserve"> </w:t>
      </w:r>
    </w:p>
    <w:p w:rsidR="002B68D7" w:rsidRPr="003B724A" w:rsidRDefault="002B68D7" w:rsidP="003B724A">
      <w:pPr>
        <w:pStyle w:val="Notedebasdepage"/>
        <w:bidi/>
        <w:jc w:val="both"/>
        <w:rPr>
          <w:rtl/>
          <w:lang w:bidi="ar-DZ"/>
        </w:rPr>
      </w:pPr>
    </w:p>
  </w:footnote>
  <w:footnote w:id="3">
    <w:p w:rsidR="002B68D7" w:rsidRPr="003B724A" w:rsidRDefault="002B68D7" w:rsidP="003B724A">
      <w:pPr>
        <w:pStyle w:val="Notedebasdepage"/>
        <w:bidi/>
        <w:jc w:val="both"/>
        <w:rPr>
          <w:rtl/>
          <w:lang w:bidi="ar-DZ"/>
        </w:rPr>
      </w:pPr>
      <w:r>
        <w:rPr>
          <w:rStyle w:val="Appelnotedebasdep"/>
        </w:rPr>
        <w:footnoteRef/>
      </w:r>
      <w:r>
        <w:t xml:space="preserve"> </w:t>
      </w:r>
      <w:proofErr w:type="gramStart"/>
      <w:r w:rsidRPr="003B724A">
        <w:rPr>
          <w:rtl/>
          <w:lang w:bidi="ar-DZ"/>
        </w:rPr>
        <w:t>مكتب</w:t>
      </w:r>
      <w:proofErr w:type="gramEnd"/>
      <w:r w:rsidRPr="003B724A">
        <w:rPr>
          <w:rtl/>
          <w:lang w:bidi="ar-DZ"/>
        </w:rPr>
        <w:t xml:space="preserve"> المفوّض السامي لحقوق الإنسان التابع للأمم المتحدة،</w:t>
      </w:r>
      <w:r w:rsidRPr="003B724A">
        <w:rPr>
          <w:b/>
          <w:bCs/>
          <w:rtl/>
          <w:lang w:bidi="ar-DZ"/>
        </w:rPr>
        <w:t xml:space="preserve"> </w:t>
      </w:r>
      <w:r w:rsidRPr="003B724A">
        <w:rPr>
          <w:b/>
          <w:bCs/>
          <w:rtl/>
        </w:rPr>
        <w:t>لمحة تاريخيّة عن مفوضيّة الأمم المتّحدة السامية لحقوق الإنسان</w:t>
      </w:r>
      <w:r w:rsidRPr="003B724A">
        <w:rPr>
          <w:rFonts w:hint="cs"/>
          <w:rtl/>
        </w:rPr>
        <w:t>،</w:t>
      </w:r>
      <w:r>
        <w:rPr>
          <w:rFonts w:hint="cs"/>
          <w:rtl/>
        </w:rPr>
        <w:t xml:space="preserve"> مرجع سبق ذكره.</w:t>
      </w:r>
    </w:p>
  </w:footnote>
  <w:footnote w:id="4">
    <w:p w:rsidR="002B68D7" w:rsidRPr="0078587C" w:rsidRDefault="002B68D7" w:rsidP="0078587C">
      <w:pPr>
        <w:pStyle w:val="Titre2"/>
        <w:bidi/>
        <w:jc w:val="both"/>
        <w:rPr>
          <w:rFonts w:asciiTheme="minorHAnsi" w:hAnsiTheme="minorHAnsi"/>
          <w:sz w:val="20"/>
          <w:szCs w:val="20"/>
        </w:rPr>
      </w:pPr>
      <w:r w:rsidRPr="0078587C">
        <w:rPr>
          <w:rStyle w:val="Appelnotedebasdep"/>
          <w:rFonts w:asciiTheme="minorHAnsi" w:hAnsiTheme="minorHAnsi"/>
          <w:b w:val="0"/>
          <w:bCs w:val="0"/>
          <w:sz w:val="20"/>
          <w:szCs w:val="20"/>
        </w:rPr>
        <w:footnoteRef/>
      </w:r>
      <w:r w:rsidRPr="0078587C">
        <w:rPr>
          <w:rFonts w:asciiTheme="minorHAnsi" w:hAnsiTheme="minorHAnsi"/>
          <w:b w:val="0"/>
          <w:bCs w:val="0"/>
          <w:sz w:val="20"/>
          <w:szCs w:val="20"/>
        </w:rPr>
        <w:t xml:space="preserve"> </w:t>
      </w:r>
      <w:proofErr w:type="gramStart"/>
      <w:r w:rsidRPr="0078587C">
        <w:rPr>
          <w:rFonts w:asciiTheme="minorHAnsi" w:hAnsiTheme="minorHAnsi"/>
          <w:b w:val="0"/>
          <w:bCs w:val="0"/>
          <w:sz w:val="20"/>
          <w:szCs w:val="20"/>
          <w:rtl/>
        </w:rPr>
        <w:t>مكتب</w:t>
      </w:r>
      <w:proofErr w:type="gramEnd"/>
      <w:r w:rsidRPr="0078587C">
        <w:rPr>
          <w:rFonts w:asciiTheme="minorHAnsi" w:hAnsiTheme="minorHAnsi"/>
          <w:b w:val="0"/>
          <w:bCs w:val="0"/>
          <w:sz w:val="20"/>
          <w:szCs w:val="20"/>
          <w:rtl/>
        </w:rPr>
        <w:t xml:space="preserve"> المفوض السامي لحقوق الإنسان التابع للأمم المتحدة، </w:t>
      </w:r>
      <w:r w:rsidRPr="0078587C">
        <w:rPr>
          <w:rFonts w:asciiTheme="minorHAnsi" w:hAnsiTheme="minorHAnsi"/>
          <w:sz w:val="20"/>
          <w:szCs w:val="20"/>
          <w:rtl/>
        </w:rPr>
        <w:t>المفوضية السامية لحقوق الإنسان في العالم: جعل حقوق الإنسان حقيقة على أرض الواقع</w:t>
      </w:r>
      <w:r>
        <w:rPr>
          <w:rFonts w:asciiTheme="minorHAnsi" w:hAnsiTheme="minorHAnsi" w:hint="cs"/>
          <w:sz w:val="20"/>
          <w:szCs w:val="20"/>
          <w:rtl/>
        </w:rPr>
        <w:t xml:space="preserve">، </w:t>
      </w:r>
      <w:r>
        <w:rPr>
          <w:rFonts w:asciiTheme="minorHAnsi" w:hAnsiTheme="minorHAnsi" w:hint="cs"/>
          <w:b w:val="0"/>
          <w:bCs w:val="0"/>
          <w:sz w:val="20"/>
          <w:szCs w:val="20"/>
          <w:rtl/>
        </w:rPr>
        <w:t xml:space="preserve">مفوضية حقوق الإنسان 1996-2019، </w:t>
      </w:r>
      <w:hyperlink r:id="rId3" w:history="1">
        <w:r w:rsidRPr="00F67E41">
          <w:rPr>
            <w:rStyle w:val="Lienhypertexte"/>
            <w:rFonts w:asciiTheme="minorHAnsi" w:hAnsiTheme="minorHAnsi"/>
            <w:b w:val="0"/>
            <w:bCs w:val="0"/>
            <w:sz w:val="20"/>
            <w:szCs w:val="20"/>
          </w:rPr>
          <w:t>https://www.ohchr.org/AR/Countries/Pages/WorkInField.aspx</w:t>
        </w:r>
      </w:hyperlink>
      <w:r>
        <w:rPr>
          <w:rFonts w:asciiTheme="minorHAnsi" w:hAnsiTheme="minorHAnsi" w:hint="cs"/>
          <w:b w:val="0"/>
          <w:bCs w:val="0"/>
          <w:sz w:val="20"/>
          <w:szCs w:val="20"/>
          <w:rtl/>
        </w:rPr>
        <w:t>، تاريخ التصفّح: 19/11/2021.</w:t>
      </w:r>
      <w:r w:rsidRPr="0078587C">
        <w:rPr>
          <w:rFonts w:asciiTheme="minorHAnsi" w:hAnsiTheme="minorHAnsi"/>
          <w:sz w:val="20"/>
          <w:szCs w:val="20"/>
          <w:rtl/>
        </w:rPr>
        <w:t xml:space="preserve"> </w:t>
      </w:r>
    </w:p>
    <w:p w:rsidR="002B68D7" w:rsidRPr="0078587C" w:rsidRDefault="002B68D7" w:rsidP="0078587C">
      <w:pPr>
        <w:pStyle w:val="Notedebasdepage"/>
        <w:bidi/>
        <w:jc w:val="both"/>
        <w:rPr>
          <w:rtl/>
          <w:lang w:bidi="ar-DZ"/>
        </w:rPr>
      </w:pPr>
    </w:p>
  </w:footnote>
  <w:footnote w:id="5">
    <w:p w:rsidR="000E3B9B" w:rsidRPr="00171699" w:rsidRDefault="000E3B9B" w:rsidP="00171699">
      <w:pPr>
        <w:pStyle w:val="Titre2"/>
        <w:bidi/>
        <w:jc w:val="both"/>
        <w:rPr>
          <w:rFonts w:asciiTheme="minorHAnsi" w:hAnsiTheme="minorHAnsi"/>
          <w:b w:val="0"/>
          <w:bCs w:val="0"/>
          <w:sz w:val="20"/>
          <w:szCs w:val="20"/>
          <w:rtl/>
          <w:lang w:bidi="ar-DZ"/>
        </w:rPr>
      </w:pPr>
      <w:r w:rsidRPr="000E3B9B">
        <w:rPr>
          <w:rStyle w:val="Appelnotedebasdep"/>
          <w:rFonts w:asciiTheme="minorHAnsi" w:hAnsiTheme="minorHAnsi"/>
          <w:b w:val="0"/>
          <w:bCs w:val="0"/>
          <w:sz w:val="20"/>
          <w:szCs w:val="20"/>
        </w:rPr>
        <w:footnoteRef/>
      </w:r>
      <w:r w:rsidRPr="000E3B9B">
        <w:rPr>
          <w:rFonts w:asciiTheme="minorHAnsi" w:hAnsiTheme="minorHAnsi"/>
          <w:b w:val="0"/>
          <w:bCs w:val="0"/>
          <w:sz w:val="20"/>
          <w:szCs w:val="20"/>
        </w:rPr>
        <w:t xml:space="preserve"> </w:t>
      </w:r>
      <w:r w:rsidRPr="000E3B9B">
        <w:rPr>
          <w:rFonts w:asciiTheme="minorHAnsi" w:hAnsiTheme="minorHAnsi"/>
          <w:b w:val="0"/>
          <w:bCs w:val="0"/>
          <w:sz w:val="20"/>
          <w:szCs w:val="20"/>
          <w:rtl/>
          <w:lang w:bidi="ar-DZ"/>
        </w:rPr>
        <w:t xml:space="preserve">مكتب </w:t>
      </w:r>
      <w:proofErr w:type="gramStart"/>
      <w:r w:rsidRPr="000E3B9B">
        <w:rPr>
          <w:rFonts w:asciiTheme="minorHAnsi" w:hAnsiTheme="minorHAnsi"/>
          <w:b w:val="0"/>
          <w:bCs w:val="0"/>
          <w:sz w:val="20"/>
          <w:szCs w:val="20"/>
          <w:rtl/>
          <w:lang w:bidi="ar-DZ"/>
        </w:rPr>
        <w:t>المفوض</w:t>
      </w:r>
      <w:proofErr w:type="gramEnd"/>
      <w:r w:rsidRPr="000E3B9B">
        <w:rPr>
          <w:rFonts w:asciiTheme="minorHAnsi" w:hAnsiTheme="minorHAnsi"/>
          <w:b w:val="0"/>
          <w:bCs w:val="0"/>
          <w:sz w:val="20"/>
          <w:szCs w:val="20"/>
          <w:rtl/>
          <w:lang w:bidi="ar-DZ"/>
        </w:rPr>
        <w:t xml:space="preserve"> السامي لحقوق الإنسان التابع للأمم المتحدة، </w:t>
      </w:r>
      <w:r w:rsidRPr="000E3B9B">
        <w:rPr>
          <w:rFonts w:asciiTheme="minorHAnsi" w:hAnsiTheme="minorHAnsi"/>
          <w:sz w:val="20"/>
          <w:szCs w:val="20"/>
          <w:rtl/>
        </w:rPr>
        <w:t>تمويل وميزانية المفوضية السامية لحقوق الإنسان</w:t>
      </w:r>
      <w:r w:rsidRPr="000E3B9B">
        <w:rPr>
          <w:rFonts w:asciiTheme="minorHAnsi" w:hAnsiTheme="minorHAnsi" w:hint="cs"/>
          <w:sz w:val="20"/>
          <w:szCs w:val="20"/>
          <w:rtl/>
        </w:rPr>
        <w:t>،</w:t>
      </w:r>
      <w:r>
        <w:rPr>
          <w:rFonts w:asciiTheme="minorHAnsi" w:hAnsiTheme="minorHAnsi" w:hint="cs"/>
          <w:b w:val="0"/>
          <w:bCs w:val="0"/>
          <w:sz w:val="20"/>
          <w:szCs w:val="20"/>
          <w:rtl/>
        </w:rPr>
        <w:t xml:space="preserve"> مفوضية حقوق الإنسان 1996-2019، </w:t>
      </w:r>
      <w:hyperlink r:id="rId4" w:history="1">
        <w:r w:rsidRPr="00F67E41">
          <w:rPr>
            <w:rStyle w:val="Lienhypertexte"/>
            <w:rFonts w:asciiTheme="minorHAnsi" w:hAnsiTheme="minorHAnsi"/>
            <w:b w:val="0"/>
            <w:bCs w:val="0"/>
            <w:sz w:val="20"/>
            <w:szCs w:val="20"/>
          </w:rPr>
          <w:t>https://www.ohchr.org/AR/AboutUs/Pages/FundingBudget.aspx</w:t>
        </w:r>
      </w:hyperlink>
      <w:r>
        <w:rPr>
          <w:rFonts w:asciiTheme="minorHAnsi" w:hAnsiTheme="minorHAnsi" w:hint="cs"/>
          <w:b w:val="0"/>
          <w:bCs w:val="0"/>
          <w:sz w:val="20"/>
          <w:szCs w:val="20"/>
          <w:rtl/>
        </w:rPr>
        <w:t>، تاريخ التصفّح: 19/11/2021.</w:t>
      </w:r>
    </w:p>
  </w:footnote>
  <w:footnote w:id="6">
    <w:p w:rsidR="002F5CCB" w:rsidRPr="00171699" w:rsidRDefault="002F5CCB" w:rsidP="00171699">
      <w:pPr>
        <w:pStyle w:val="Titre2"/>
        <w:bidi/>
        <w:jc w:val="both"/>
        <w:rPr>
          <w:b w:val="0"/>
          <w:bCs w:val="0"/>
        </w:rPr>
      </w:pPr>
      <w:r w:rsidRPr="00171699">
        <w:rPr>
          <w:rStyle w:val="Appelnotedebasdep"/>
          <w:rFonts w:asciiTheme="minorHAnsi" w:hAnsiTheme="minorHAnsi"/>
          <w:b w:val="0"/>
          <w:bCs w:val="0"/>
          <w:sz w:val="20"/>
          <w:szCs w:val="20"/>
        </w:rPr>
        <w:footnoteRef/>
      </w:r>
      <w:r w:rsidRPr="00171699">
        <w:rPr>
          <w:rFonts w:asciiTheme="minorHAnsi" w:hAnsiTheme="minorHAnsi"/>
          <w:b w:val="0"/>
          <w:bCs w:val="0"/>
          <w:sz w:val="20"/>
          <w:szCs w:val="20"/>
        </w:rPr>
        <w:t xml:space="preserve"> </w:t>
      </w:r>
      <w:proofErr w:type="gramStart"/>
      <w:r w:rsidRPr="00171699">
        <w:rPr>
          <w:rFonts w:asciiTheme="minorHAnsi" w:hAnsiTheme="minorHAnsi"/>
          <w:b w:val="0"/>
          <w:bCs w:val="0"/>
          <w:sz w:val="20"/>
          <w:szCs w:val="20"/>
          <w:rtl/>
          <w:lang w:bidi="ar-DZ"/>
        </w:rPr>
        <w:t>مكتب</w:t>
      </w:r>
      <w:proofErr w:type="gramEnd"/>
      <w:r w:rsidRPr="00171699">
        <w:rPr>
          <w:rFonts w:asciiTheme="minorHAnsi" w:hAnsiTheme="minorHAnsi"/>
          <w:b w:val="0"/>
          <w:bCs w:val="0"/>
          <w:sz w:val="20"/>
          <w:szCs w:val="20"/>
          <w:rtl/>
          <w:lang w:bidi="ar-DZ"/>
        </w:rPr>
        <w:t xml:space="preserve"> المفوّض السامي لحقوق الإنسان التابع للأمم المتحدة، </w:t>
      </w:r>
      <w:r w:rsidRPr="00171699">
        <w:rPr>
          <w:rFonts w:asciiTheme="minorHAnsi" w:hAnsiTheme="minorHAnsi"/>
          <w:sz w:val="20"/>
          <w:szCs w:val="20"/>
          <w:rtl/>
        </w:rPr>
        <w:t>ماذا نفعل: لمحة عامة</w:t>
      </w:r>
      <w:r w:rsidR="00171699">
        <w:rPr>
          <w:rFonts w:asciiTheme="minorHAnsi" w:hAnsiTheme="minorHAnsi" w:hint="cs"/>
          <w:b w:val="0"/>
          <w:bCs w:val="0"/>
          <w:sz w:val="20"/>
          <w:szCs w:val="20"/>
          <w:rtl/>
        </w:rPr>
        <w:t xml:space="preserve">، مفوضية حقوق الإنسان 1996-2019، </w:t>
      </w:r>
      <w:hyperlink r:id="rId5" w:history="1">
        <w:r w:rsidR="00171699" w:rsidRPr="00F67E41">
          <w:rPr>
            <w:rStyle w:val="Lienhypertexte"/>
            <w:rFonts w:asciiTheme="minorHAnsi" w:hAnsiTheme="minorHAnsi"/>
            <w:b w:val="0"/>
            <w:bCs w:val="0"/>
            <w:sz w:val="20"/>
            <w:szCs w:val="20"/>
          </w:rPr>
          <w:t>https://www.ohchr.org/AR/AboutUs/Pages/WhatWeDo.aspx</w:t>
        </w:r>
      </w:hyperlink>
      <w:r w:rsidR="00171699">
        <w:rPr>
          <w:rFonts w:asciiTheme="minorHAnsi" w:hAnsiTheme="minorHAnsi" w:hint="cs"/>
          <w:b w:val="0"/>
          <w:bCs w:val="0"/>
          <w:sz w:val="20"/>
          <w:szCs w:val="20"/>
          <w:rtl/>
        </w:rPr>
        <w:t>، تاريخ التصفّح: 19/11/2021.</w:t>
      </w:r>
    </w:p>
    <w:p w:rsidR="002F5CCB" w:rsidRPr="002F5CCB" w:rsidRDefault="002F5CCB" w:rsidP="002F5CCB">
      <w:pPr>
        <w:pStyle w:val="Notedebasdepage"/>
        <w:bidi/>
        <w:jc w:val="both"/>
        <w:rPr>
          <w:rtl/>
          <w:lang w:bidi="ar-D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24"/>
        <w:szCs w:val="24"/>
        <w:rtl/>
      </w:rPr>
      <w:alias w:val="Titre"/>
      <w:id w:val="77738743"/>
      <w:placeholder>
        <w:docPart w:val="CA7A189920E541ECACED6DC02E5009D0"/>
      </w:placeholder>
      <w:dataBinding w:prefixMappings="xmlns:ns0='http://schemas.openxmlformats.org/package/2006/metadata/core-properties' xmlns:ns1='http://purl.org/dc/elements/1.1/'" w:xpath="/ns0:coreProperties[1]/ns1:title[1]" w:storeItemID="{6C3C8BC8-F283-45AE-878A-BAB7291924A1}"/>
      <w:text/>
    </w:sdtPr>
    <w:sdtEndPr/>
    <w:sdtContent>
      <w:p w:rsidR="00527803" w:rsidRPr="00527803" w:rsidRDefault="00527803" w:rsidP="00527803">
        <w:pPr>
          <w:pStyle w:val="En-tte"/>
          <w:pBdr>
            <w:bottom w:val="thickThinSmallGap" w:sz="24" w:space="1" w:color="622423" w:themeColor="accent2" w:themeShade="7F"/>
          </w:pBdr>
          <w:bidi/>
          <w:jc w:val="both"/>
          <w:rPr>
            <w:rFonts w:asciiTheme="majorHAnsi" w:eastAsiaTheme="majorEastAsia" w:hAnsiTheme="majorHAnsi" w:cstheme="majorBidi"/>
            <w:b/>
            <w:bCs/>
            <w:sz w:val="24"/>
            <w:szCs w:val="24"/>
          </w:rPr>
        </w:pPr>
        <w:r w:rsidRPr="00527803">
          <w:rPr>
            <w:rFonts w:asciiTheme="majorHAnsi" w:eastAsiaTheme="majorEastAsia" w:hAnsiTheme="majorHAnsi" w:cstheme="majorBidi" w:hint="cs"/>
            <w:b/>
            <w:bCs/>
            <w:sz w:val="24"/>
            <w:szCs w:val="24"/>
            <w:rtl/>
          </w:rPr>
          <w:t xml:space="preserve">التعاون الدولي و حقوق الإنسان     </w:t>
        </w:r>
        <w:r>
          <w:rPr>
            <w:rFonts w:asciiTheme="majorHAnsi" w:eastAsiaTheme="majorEastAsia" w:hAnsiTheme="majorHAnsi" w:cstheme="majorBidi" w:hint="cs"/>
            <w:b/>
            <w:bCs/>
            <w:sz w:val="24"/>
            <w:szCs w:val="24"/>
            <w:rtl/>
          </w:rPr>
          <w:t xml:space="preserve">                                                             </w:t>
        </w:r>
        <w:r w:rsidRPr="00527803">
          <w:rPr>
            <w:rFonts w:asciiTheme="majorHAnsi" w:eastAsiaTheme="majorEastAsia" w:hAnsiTheme="majorHAnsi" w:cstheme="majorBidi" w:hint="cs"/>
            <w:b/>
            <w:bCs/>
            <w:sz w:val="24"/>
            <w:szCs w:val="24"/>
            <w:rtl/>
          </w:rPr>
          <w:t xml:space="preserve"> المفوضية السامية لحقوق الإنسان</w:t>
        </w:r>
      </w:p>
    </w:sdtContent>
  </w:sdt>
  <w:p w:rsidR="00527803" w:rsidRDefault="005278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00F"/>
    <w:multiLevelType w:val="multilevel"/>
    <w:tmpl w:val="F81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13517"/>
    <w:multiLevelType w:val="multilevel"/>
    <w:tmpl w:val="D13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064AD"/>
    <w:multiLevelType w:val="multilevel"/>
    <w:tmpl w:val="4038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113EC"/>
    <w:multiLevelType w:val="multilevel"/>
    <w:tmpl w:val="ED8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1029A"/>
    <w:multiLevelType w:val="hybridMultilevel"/>
    <w:tmpl w:val="1D30FB94"/>
    <w:lvl w:ilvl="0" w:tplc="160AFD0A">
      <w:start w:val="3"/>
      <w:numFmt w:val="bullet"/>
      <w:lvlText w:val="-"/>
      <w:lvlJc w:val="left"/>
      <w:pPr>
        <w:ind w:left="720" w:hanging="360"/>
      </w:pPr>
      <w:rPr>
        <w:rFonts w:ascii="Times New Roman" w:eastAsia="Times New Roman"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A528F9"/>
    <w:multiLevelType w:val="multilevel"/>
    <w:tmpl w:val="3BA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00831"/>
    <w:multiLevelType w:val="multilevel"/>
    <w:tmpl w:val="C14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E0752"/>
    <w:multiLevelType w:val="multilevel"/>
    <w:tmpl w:val="120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66A39"/>
    <w:multiLevelType w:val="multilevel"/>
    <w:tmpl w:val="9FE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A23D8"/>
    <w:multiLevelType w:val="hybridMultilevel"/>
    <w:tmpl w:val="96BADA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7D85CEA"/>
    <w:multiLevelType w:val="multilevel"/>
    <w:tmpl w:val="777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6"/>
  </w:num>
  <w:num w:numId="5">
    <w:abstractNumId w:val="9"/>
  </w:num>
  <w:num w:numId="6">
    <w:abstractNumId w:val="7"/>
  </w:num>
  <w:num w:numId="7">
    <w:abstractNumId w:val="3"/>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1D"/>
    <w:rsid w:val="000E3B9B"/>
    <w:rsid w:val="00171699"/>
    <w:rsid w:val="002B68D7"/>
    <w:rsid w:val="002F5CCB"/>
    <w:rsid w:val="003B724A"/>
    <w:rsid w:val="00527803"/>
    <w:rsid w:val="0078587C"/>
    <w:rsid w:val="007D53B9"/>
    <w:rsid w:val="0083724E"/>
    <w:rsid w:val="00907F2A"/>
    <w:rsid w:val="009B7EFC"/>
    <w:rsid w:val="009F053D"/>
    <w:rsid w:val="00A11CD6"/>
    <w:rsid w:val="00C8393B"/>
    <w:rsid w:val="00E7631D"/>
    <w:rsid w:val="00EA4F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763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A4FA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7631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31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7631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7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7631D"/>
    <w:rPr>
      <w:rFonts w:ascii="Times New Roman" w:eastAsia="Times New Roman" w:hAnsi="Times New Roman" w:cs="Times New Roman"/>
      <w:b/>
      <w:bCs/>
      <w:sz w:val="24"/>
      <w:szCs w:val="24"/>
      <w:lang w:eastAsia="fr-FR"/>
    </w:rPr>
  </w:style>
  <w:style w:type="table" w:styleId="Trameclaire-Accent5">
    <w:name w:val="Light Shading Accent 5"/>
    <w:basedOn w:val="TableauNormal"/>
    <w:uiPriority w:val="60"/>
    <w:rsid w:val="00E763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
    <w:name w:val="Hyperlink"/>
    <w:basedOn w:val="Policepardfaut"/>
    <w:uiPriority w:val="99"/>
    <w:unhideWhenUsed/>
    <w:rsid w:val="00E7631D"/>
    <w:rPr>
      <w:color w:val="0000FF"/>
      <w:u w:val="single"/>
    </w:rPr>
  </w:style>
  <w:style w:type="paragraph" w:styleId="Paragraphedeliste">
    <w:name w:val="List Paragraph"/>
    <w:basedOn w:val="Normal"/>
    <w:uiPriority w:val="34"/>
    <w:qFormat/>
    <w:rsid w:val="00E7631D"/>
    <w:pPr>
      <w:ind w:left="720"/>
      <w:contextualSpacing/>
    </w:pPr>
  </w:style>
  <w:style w:type="character" w:customStyle="1" w:styleId="Titre3Car">
    <w:name w:val="Titre 3 Car"/>
    <w:basedOn w:val="Policepardfaut"/>
    <w:link w:val="Titre3"/>
    <w:uiPriority w:val="9"/>
    <w:rsid w:val="00EA4FA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7858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587C"/>
    <w:rPr>
      <w:sz w:val="20"/>
      <w:szCs w:val="20"/>
    </w:rPr>
  </w:style>
  <w:style w:type="character" w:styleId="Appelnotedebasdep">
    <w:name w:val="footnote reference"/>
    <w:basedOn w:val="Policepardfaut"/>
    <w:uiPriority w:val="99"/>
    <w:semiHidden/>
    <w:unhideWhenUsed/>
    <w:rsid w:val="0078587C"/>
    <w:rPr>
      <w:vertAlign w:val="superscript"/>
    </w:rPr>
  </w:style>
  <w:style w:type="character" w:styleId="lev">
    <w:name w:val="Strong"/>
    <w:basedOn w:val="Policepardfaut"/>
    <w:uiPriority w:val="22"/>
    <w:qFormat/>
    <w:rsid w:val="0078587C"/>
    <w:rPr>
      <w:b/>
      <w:bCs/>
    </w:rPr>
  </w:style>
  <w:style w:type="paragraph" w:styleId="En-tte">
    <w:name w:val="header"/>
    <w:basedOn w:val="Normal"/>
    <w:link w:val="En-tteCar"/>
    <w:uiPriority w:val="99"/>
    <w:unhideWhenUsed/>
    <w:rsid w:val="00527803"/>
    <w:pPr>
      <w:tabs>
        <w:tab w:val="center" w:pos="4536"/>
        <w:tab w:val="right" w:pos="9072"/>
      </w:tabs>
      <w:spacing w:after="0" w:line="240" w:lineRule="auto"/>
    </w:pPr>
  </w:style>
  <w:style w:type="character" w:customStyle="1" w:styleId="En-tteCar">
    <w:name w:val="En-tête Car"/>
    <w:basedOn w:val="Policepardfaut"/>
    <w:link w:val="En-tte"/>
    <w:uiPriority w:val="99"/>
    <w:rsid w:val="00527803"/>
  </w:style>
  <w:style w:type="paragraph" w:styleId="Pieddepage">
    <w:name w:val="footer"/>
    <w:basedOn w:val="Normal"/>
    <w:link w:val="PieddepageCar"/>
    <w:uiPriority w:val="99"/>
    <w:unhideWhenUsed/>
    <w:rsid w:val="00527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803"/>
  </w:style>
  <w:style w:type="paragraph" w:styleId="Textedebulles">
    <w:name w:val="Balloon Text"/>
    <w:basedOn w:val="Normal"/>
    <w:link w:val="TextedebullesCar"/>
    <w:uiPriority w:val="99"/>
    <w:semiHidden/>
    <w:unhideWhenUsed/>
    <w:rsid w:val="005278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763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A4FA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7631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31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7631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7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7631D"/>
    <w:rPr>
      <w:rFonts w:ascii="Times New Roman" w:eastAsia="Times New Roman" w:hAnsi="Times New Roman" w:cs="Times New Roman"/>
      <w:b/>
      <w:bCs/>
      <w:sz w:val="24"/>
      <w:szCs w:val="24"/>
      <w:lang w:eastAsia="fr-FR"/>
    </w:rPr>
  </w:style>
  <w:style w:type="table" w:styleId="Trameclaire-Accent5">
    <w:name w:val="Light Shading Accent 5"/>
    <w:basedOn w:val="TableauNormal"/>
    <w:uiPriority w:val="60"/>
    <w:rsid w:val="00E763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
    <w:name w:val="Hyperlink"/>
    <w:basedOn w:val="Policepardfaut"/>
    <w:uiPriority w:val="99"/>
    <w:unhideWhenUsed/>
    <w:rsid w:val="00E7631D"/>
    <w:rPr>
      <w:color w:val="0000FF"/>
      <w:u w:val="single"/>
    </w:rPr>
  </w:style>
  <w:style w:type="paragraph" w:styleId="Paragraphedeliste">
    <w:name w:val="List Paragraph"/>
    <w:basedOn w:val="Normal"/>
    <w:uiPriority w:val="34"/>
    <w:qFormat/>
    <w:rsid w:val="00E7631D"/>
    <w:pPr>
      <w:ind w:left="720"/>
      <w:contextualSpacing/>
    </w:pPr>
  </w:style>
  <w:style w:type="character" w:customStyle="1" w:styleId="Titre3Car">
    <w:name w:val="Titre 3 Car"/>
    <w:basedOn w:val="Policepardfaut"/>
    <w:link w:val="Titre3"/>
    <w:uiPriority w:val="9"/>
    <w:rsid w:val="00EA4FA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7858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587C"/>
    <w:rPr>
      <w:sz w:val="20"/>
      <w:szCs w:val="20"/>
    </w:rPr>
  </w:style>
  <w:style w:type="character" w:styleId="Appelnotedebasdep">
    <w:name w:val="footnote reference"/>
    <w:basedOn w:val="Policepardfaut"/>
    <w:uiPriority w:val="99"/>
    <w:semiHidden/>
    <w:unhideWhenUsed/>
    <w:rsid w:val="0078587C"/>
    <w:rPr>
      <w:vertAlign w:val="superscript"/>
    </w:rPr>
  </w:style>
  <w:style w:type="character" w:styleId="lev">
    <w:name w:val="Strong"/>
    <w:basedOn w:val="Policepardfaut"/>
    <w:uiPriority w:val="22"/>
    <w:qFormat/>
    <w:rsid w:val="0078587C"/>
    <w:rPr>
      <w:b/>
      <w:bCs/>
    </w:rPr>
  </w:style>
  <w:style w:type="paragraph" w:styleId="En-tte">
    <w:name w:val="header"/>
    <w:basedOn w:val="Normal"/>
    <w:link w:val="En-tteCar"/>
    <w:uiPriority w:val="99"/>
    <w:unhideWhenUsed/>
    <w:rsid w:val="00527803"/>
    <w:pPr>
      <w:tabs>
        <w:tab w:val="center" w:pos="4536"/>
        <w:tab w:val="right" w:pos="9072"/>
      </w:tabs>
      <w:spacing w:after="0" w:line="240" w:lineRule="auto"/>
    </w:pPr>
  </w:style>
  <w:style w:type="character" w:customStyle="1" w:styleId="En-tteCar">
    <w:name w:val="En-tête Car"/>
    <w:basedOn w:val="Policepardfaut"/>
    <w:link w:val="En-tte"/>
    <w:uiPriority w:val="99"/>
    <w:rsid w:val="00527803"/>
  </w:style>
  <w:style w:type="paragraph" w:styleId="Pieddepage">
    <w:name w:val="footer"/>
    <w:basedOn w:val="Normal"/>
    <w:link w:val="PieddepageCar"/>
    <w:uiPriority w:val="99"/>
    <w:unhideWhenUsed/>
    <w:rsid w:val="00527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803"/>
  </w:style>
  <w:style w:type="paragraph" w:styleId="Textedebulles">
    <w:name w:val="Balloon Text"/>
    <w:basedOn w:val="Normal"/>
    <w:link w:val="TextedebullesCar"/>
    <w:uiPriority w:val="99"/>
    <w:semiHidden/>
    <w:unhideWhenUsed/>
    <w:rsid w:val="005278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607">
      <w:bodyDiv w:val="1"/>
      <w:marLeft w:val="0"/>
      <w:marRight w:val="0"/>
      <w:marTop w:val="0"/>
      <w:marBottom w:val="0"/>
      <w:divBdr>
        <w:top w:val="none" w:sz="0" w:space="0" w:color="auto"/>
        <w:left w:val="none" w:sz="0" w:space="0" w:color="auto"/>
        <w:bottom w:val="none" w:sz="0" w:space="0" w:color="auto"/>
        <w:right w:val="none" w:sz="0" w:space="0" w:color="auto"/>
      </w:divBdr>
    </w:div>
    <w:div w:id="41566119">
      <w:bodyDiv w:val="1"/>
      <w:marLeft w:val="0"/>
      <w:marRight w:val="0"/>
      <w:marTop w:val="0"/>
      <w:marBottom w:val="0"/>
      <w:divBdr>
        <w:top w:val="none" w:sz="0" w:space="0" w:color="auto"/>
        <w:left w:val="none" w:sz="0" w:space="0" w:color="auto"/>
        <w:bottom w:val="none" w:sz="0" w:space="0" w:color="auto"/>
        <w:right w:val="none" w:sz="0" w:space="0" w:color="auto"/>
      </w:divBdr>
    </w:div>
    <w:div w:id="269943689">
      <w:bodyDiv w:val="1"/>
      <w:marLeft w:val="0"/>
      <w:marRight w:val="0"/>
      <w:marTop w:val="0"/>
      <w:marBottom w:val="0"/>
      <w:divBdr>
        <w:top w:val="none" w:sz="0" w:space="0" w:color="auto"/>
        <w:left w:val="none" w:sz="0" w:space="0" w:color="auto"/>
        <w:bottom w:val="none" w:sz="0" w:space="0" w:color="auto"/>
        <w:right w:val="none" w:sz="0" w:space="0" w:color="auto"/>
      </w:divBdr>
    </w:div>
    <w:div w:id="324821076">
      <w:bodyDiv w:val="1"/>
      <w:marLeft w:val="0"/>
      <w:marRight w:val="0"/>
      <w:marTop w:val="0"/>
      <w:marBottom w:val="0"/>
      <w:divBdr>
        <w:top w:val="none" w:sz="0" w:space="0" w:color="auto"/>
        <w:left w:val="none" w:sz="0" w:space="0" w:color="auto"/>
        <w:bottom w:val="none" w:sz="0" w:space="0" w:color="auto"/>
        <w:right w:val="none" w:sz="0" w:space="0" w:color="auto"/>
      </w:divBdr>
    </w:div>
    <w:div w:id="363362980">
      <w:bodyDiv w:val="1"/>
      <w:marLeft w:val="0"/>
      <w:marRight w:val="0"/>
      <w:marTop w:val="0"/>
      <w:marBottom w:val="0"/>
      <w:divBdr>
        <w:top w:val="none" w:sz="0" w:space="0" w:color="auto"/>
        <w:left w:val="none" w:sz="0" w:space="0" w:color="auto"/>
        <w:bottom w:val="none" w:sz="0" w:space="0" w:color="auto"/>
        <w:right w:val="none" w:sz="0" w:space="0" w:color="auto"/>
      </w:divBdr>
    </w:div>
    <w:div w:id="376391823">
      <w:bodyDiv w:val="1"/>
      <w:marLeft w:val="0"/>
      <w:marRight w:val="0"/>
      <w:marTop w:val="0"/>
      <w:marBottom w:val="0"/>
      <w:divBdr>
        <w:top w:val="none" w:sz="0" w:space="0" w:color="auto"/>
        <w:left w:val="none" w:sz="0" w:space="0" w:color="auto"/>
        <w:bottom w:val="none" w:sz="0" w:space="0" w:color="auto"/>
        <w:right w:val="none" w:sz="0" w:space="0" w:color="auto"/>
      </w:divBdr>
    </w:div>
    <w:div w:id="396057707">
      <w:bodyDiv w:val="1"/>
      <w:marLeft w:val="0"/>
      <w:marRight w:val="0"/>
      <w:marTop w:val="0"/>
      <w:marBottom w:val="0"/>
      <w:divBdr>
        <w:top w:val="none" w:sz="0" w:space="0" w:color="auto"/>
        <w:left w:val="none" w:sz="0" w:space="0" w:color="auto"/>
        <w:bottom w:val="none" w:sz="0" w:space="0" w:color="auto"/>
        <w:right w:val="none" w:sz="0" w:space="0" w:color="auto"/>
      </w:divBdr>
    </w:div>
    <w:div w:id="462622725">
      <w:bodyDiv w:val="1"/>
      <w:marLeft w:val="0"/>
      <w:marRight w:val="0"/>
      <w:marTop w:val="0"/>
      <w:marBottom w:val="0"/>
      <w:divBdr>
        <w:top w:val="none" w:sz="0" w:space="0" w:color="auto"/>
        <w:left w:val="none" w:sz="0" w:space="0" w:color="auto"/>
        <w:bottom w:val="none" w:sz="0" w:space="0" w:color="auto"/>
        <w:right w:val="none" w:sz="0" w:space="0" w:color="auto"/>
      </w:divBdr>
    </w:div>
    <w:div w:id="463432034">
      <w:bodyDiv w:val="1"/>
      <w:marLeft w:val="0"/>
      <w:marRight w:val="0"/>
      <w:marTop w:val="0"/>
      <w:marBottom w:val="0"/>
      <w:divBdr>
        <w:top w:val="none" w:sz="0" w:space="0" w:color="auto"/>
        <w:left w:val="none" w:sz="0" w:space="0" w:color="auto"/>
        <w:bottom w:val="none" w:sz="0" w:space="0" w:color="auto"/>
        <w:right w:val="none" w:sz="0" w:space="0" w:color="auto"/>
      </w:divBdr>
    </w:div>
    <w:div w:id="579369207">
      <w:bodyDiv w:val="1"/>
      <w:marLeft w:val="0"/>
      <w:marRight w:val="0"/>
      <w:marTop w:val="0"/>
      <w:marBottom w:val="0"/>
      <w:divBdr>
        <w:top w:val="none" w:sz="0" w:space="0" w:color="auto"/>
        <w:left w:val="none" w:sz="0" w:space="0" w:color="auto"/>
        <w:bottom w:val="none" w:sz="0" w:space="0" w:color="auto"/>
        <w:right w:val="none" w:sz="0" w:space="0" w:color="auto"/>
      </w:divBdr>
    </w:div>
    <w:div w:id="599264366">
      <w:bodyDiv w:val="1"/>
      <w:marLeft w:val="0"/>
      <w:marRight w:val="0"/>
      <w:marTop w:val="0"/>
      <w:marBottom w:val="0"/>
      <w:divBdr>
        <w:top w:val="none" w:sz="0" w:space="0" w:color="auto"/>
        <w:left w:val="none" w:sz="0" w:space="0" w:color="auto"/>
        <w:bottom w:val="none" w:sz="0" w:space="0" w:color="auto"/>
        <w:right w:val="none" w:sz="0" w:space="0" w:color="auto"/>
      </w:divBdr>
    </w:div>
    <w:div w:id="649674403">
      <w:bodyDiv w:val="1"/>
      <w:marLeft w:val="0"/>
      <w:marRight w:val="0"/>
      <w:marTop w:val="0"/>
      <w:marBottom w:val="0"/>
      <w:divBdr>
        <w:top w:val="none" w:sz="0" w:space="0" w:color="auto"/>
        <w:left w:val="none" w:sz="0" w:space="0" w:color="auto"/>
        <w:bottom w:val="none" w:sz="0" w:space="0" w:color="auto"/>
        <w:right w:val="none" w:sz="0" w:space="0" w:color="auto"/>
      </w:divBdr>
    </w:div>
    <w:div w:id="810366110">
      <w:bodyDiv w:val="1"/>
      <w:marLeft w:val="0"/>
      <w:marRight w:val="0"/>
      <w:marTop w:val="0"/>
      <w:marBottom w:val="0"/>
      <w:divBdr>
        <w:top w:val="none" w:sz="0" w:space="0" w:color="auto"/>
        <w:left w:val="none" w:sz="0" w:space="0" w:color="auto"/>
        <w:bottom w:val="none" w:sz="0" w:space="0" w:color="auto"/>
        <w:right w:val="none" w:sz="0" w:space="0" w:color="auto"/>
      </w:divBdr>
    </w:div>
    <w:div w:id="892616384">
      <w:bodyDiv w:val="1"/>
      <w:marLeft w:val="0"/>
      <w:marRight w:val="0"/>
      <w:marTop w:val="0"/>
      <w:marBottom w:val="0"/>
      <w:divBdr>
        <w:top w:val="none" w:sz="0" w:space="0" w:color="auto"/>
        <w:left w:val="none" w:sz="0" w:space="0" w:color="auto"/>
        <w:bottom w:val="none" w:sz="0" w:space="0" w:color="auto"/>
        <w:right w:val="none" w:sz="0" w:space="0" w:color="auto"/>
      </w:divBdr>
    </w:div>
    <w:div w:id="1064066384">
      <w:bodyDiv w:val="1"/>
      <w:marLeft w:val="0"/>
      <w:marRight w:val="0"/>
      <w:marTop w:val="0"/>
      <w:marBottom w:val="0"/>
      <w:divBdr>
        <w:top w:val="none" w:sz="0" w:space="0" w:color="auto"/>
        <w:left w:val="none" w:sz="0" w:space="0" w:color="auto"/>
        <w:bottom w:val="none" w:sz="0" w:space="0" w:color="auto"/>
        <w:right w:val="none" w:sz="0" w:space="0" w:color="auto"/>
      </w:divBdr>
    </w:div>
    <w:div w:id="1065031250">
      <w:bodyDiv w:val="1"/>
      <w:marLeft w:val="0"/>
      <w:marRight w:val="0"/>
      <w:marTop w:val="0"/>
      <w:marBottom w:val="0"/>
      <w:divBdr>
        <w:top w:val="none" w:sz="0" w:space="0" w:color="auto"/>
        <w:left w:val="none" w:sz="0" w:space="0" w:color="auto"/>
        <w:bottom w:val="none" w:sz="0" w:space="0" w:color="auto"/>
        <w:right w:val="none" w:sz="0" w:space="0" w:color="auto"/>
      </w:divBdr>
    </w:div>
    <w:div w:id="1106969987">
      <w:bodyDiv w:val="1"/>
      <w:marLeft w:val="0"/>
      <w:marRight w:val="0"/>
      <w:marTop w:val="0"/>
      <w:marBottom w:val="0"/>
      <w:divBdr>
        <w:top w:val="none" w:sz="0" w:space="0" w:color="auto"/>
        <w:left w:val="none" w:sz="0" w:space="0" w:color="auto"/>
        <w:bottom w:val="none" w:sz="0" w:space="0" w:color="auto"/>
        <w:right w:val="none" w:sz="0" w:space="0" w:color="auto"/>
      </w:divBdr>
    </w:div>
    <w:div w:id="1301225021">
      <w:bodyDiv w:val="1"/>
      <w:marLeft w:val="0"/>
      <w:marRight w:val="0"/>
      <w:marTop w:val="0"/>
      <w:marBottom w:val="0"/>
      <w:divBdr>
        <w:top w:val="none" w:sz="0" w:space="0" w:color="auto"/>
        <w:left w:val="none" w:sz="0" w:space="0" w:color="auto"/>
        <w:bottom w:val="none" w:sz="0" w:space="0" w:color="auto"/>
        <w:right w:val="none" w:sz="0" w:space="0" w:color="auto"/>
      </w:divBdr>
    </w:div>
    <w:div w:id="1448617637">
      <w:bodyDiv w:val="1"/>
      <w:marLeft w:val="0"/>
      <w:marRight w:val="0"/>
      <w:marTop w:val="0"/>
      <w:marBottom w:val="0"/>
      <w:divBdr>
        <w:top w:val="none" w:sz="0" w:space="0" w:color="auto"/>
        <w:left w:val="none" w:sz="0" w:space="0" w:color="auto"/>
        <w:bottom w:val="none" w:sz="0" w:space="0" w:color="auto"/>
        <w:right w:val="none" w:sz="0" w:space="0" w:color="auto"/>
      </w:divBdr>
    </w:div>
    <w:div w:id="1642073101">
      <w:bodyDiv w:val="1"/>
      <w:marLeft w:val="0"/>
      <w:marRight w:val="0"/>
      <w:marTop w:val="0"/>
      <w:marBottom w:val="0"/>
      <w:divBdr>
        <w:top w:val="none" w:sz="0" w:space="0" w:color="auto"/>
        <w:left w:val="none" w:sz="0" w:space="0" w:color="auto"/>
        <w:bottom w:val="none" w:sz="0" w:space="0" w:color="auto"/>
        <w:right w:val="none" w:sz="0" w:space="0" w:color="auto"/>
      </w:divBdr>
    </w:div>
    <w:div w:id="1649094223">
      <w:bodyDiv w:val="1"/>
      <w:marLeft w:val="0"/>
      <w:marRight w:val="0"/>
      <w:marTop w:val="0"/>
      <w:marBottom w:val="0"/>
      <w:divBdr>
        <w:top w:val="none" w:sz="0" w:space="0" w:color="auto"/>
        <w:left w:val="none" w:sz="0" w:space="0" w:color="auto"/>
        <w:bottom w:val="none" w:sz="0" w:space="0" w:color="auto"/>
        <w:right w:val="none" w:sz="0" w:space="0" w:color="auto"/>
      </w:divBdr>
    </w:div>
    <w:div w:id="1931693049">
      <w:bodyDiv w:val="1"/>
      <w:marLeft w:val="0"/>
      <w:marRight w:val="0"/>
      <w:marTop w:val="0"/>
      <w:marBottom w:val="0"/>
      <w:divBdr>
        <w:top w:val="none" w:sz="0" w:space="0" w:color="auto"/>
        <w:left w:val="none" w:sz="0" w:space="0" w:color="auto"/>
        <w:bottom w:val="none" w:sz="0" w:space="0" w:color="auto"/>
        <w:right w:val="none" w:sz="0" w:space="0" w:color="auto"/>
      </w:divBdr>
    </w:div>
    <w:div w:id="21175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AR/AboutUs/Pages/ViennaWC.aspx" TargetMode="External"/><Relationship Id="rId18" Type="http://schemas.openxmlformats.org/officeDocument/2006/relationships/hyperlink" Target="https://www.ohchr.org/EN/Countries/AfricaRegion/Pages/UN-Human-Rights-in-Sudan.aspx" TargetMode="External"/><Relationship Id="rId26" Type="http://schemas.openxmlformats.org/officeDocument/2006/relationships/hyperlink" Target="https://www.ohchr.org/EN/Countries/AfricaRegion/Pages/RW20102011.aspx" TargetMode="External"/><Relationship Id="rId39" Type="http://schemas.openxmlformats.org/officeDocument/2006/relationships/hyperlink" Target="https://www.ohchr.org/EN/Countries/MENARegion/Pages/IQIndex.aspx" TargetMode="External"/><Relationship Id="rId3" Type="http://schemas.openxmlformats.org/officeDocument/2006/relationships/styles" Target="styles.xml"/><Relationship Id="rId21" Type="http://schemas.openxmlformats.org/officeDocument/2006/relationships/hyperlink" Target="https://www.ohchr.org/EN/Countries/AsiaRegion/Pages/AFSummary12-13.aspx" TargetMode="External"/><Relationship Id="rId34" Type="http://schemas.openxmlformats.org/officeDocument/2006/relationships/hyperlink" Target="https://www.ohchr.org/EN/Countries/AsiaRegion/Pages/AFIndex.aspx" TargetMode="External"/><Relationship Id="rId42" Type="http://schemas.openxmlformats.org/officeDocument/2006/relationships/hyperlink" Target="https://www.ohchr.org/EN/Countries/AfricaRegion/Pages/SOIndex.aspx"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un.org/ga/search/view_doc.asp?symbol=A/RES/48/141" TargetMode="External"/><Relationship Id="rId17" Type="http://schemas.openxmlformats.org/officeDocument/2006/relationships/hyperlink" Target="https://www.ohchr.org/EN/Countries/AfricaRegion/Pages/UN-Human-Rights-in-Somalia.aspx" TargetMode="External"/><Relationship Id="rId25" Type="http://schemas.openxmlformats.org/officeDocument/2006/relationships/hyperlink" Target="https://www.ohchr.org/EN/Countries/AfricaRegion/Pages/UN-Human-Rights-in-Nigeria.aspx" TargetMode="External"/><Relationship Id="rId33" Type="http://schemas.openxmlformats.org/officeDocument/2006/relationships/hyperlink" Target="https://www.ohchr.org/EN/Countries/LACRegion/Pages/PYHumanRightsAdviser.aspx" TargetMode="External"/><Relationship Id="rId38" Type="http://schemas.openxmlformats.org/officeDocument/2006/relationships/hyperlink" Target="https://www.ohchr.org/EN/Countries/LACRegion/Pages/HTIndex.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hchr.org/EN/Countries/AfricaRegion/Pages/GWSummary10-11.aspx" TargetMode="External"/><Relationship Id="rId20" Type="http://schemas.openxmlformats.org/officeDocument/2006/relationships/hyperlink" Target="https://www.ohchr.org/EN/Countries/MENARegion/Pages/LYProgramme.aspx" TargetMode="External"/><Relationship Id="rId29" Type="http://schemas.openxmlformats.org/officeDocument/2006/relationships/hyperlink" Target="https://www.ohchr.org/EN/Countries/AsiaRegion/Pages/TLSummary.aspx" TargetMode="External"/><Relationship Id="rId41" Type="http://schemas.openxmlformats.org/officeDocument/2006/relationships/hyperlink" Target="https://www.ohchr.org/EN/Countries/MENARegion/Pages/LYIndex.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AR/AboutUs/Pages/ViennaWC.aspx" TargetMode="External"/><Relationship Id="rId24" Type="http://schemas.openxmlformats.org/officeDocument/2006/relationships/hyperlink" Target="https://www.ohchr.org/EN/Countries/AfricaRegion/Pages/UN-Human-Rights-in-Malawi.aspx" TargetMode="External"/><Relationship Id="rId32" Type="http://schemas.openxmlformats.org/officeDocument/2006/relationships/hyperlink" Target="https://www.ohchr.org/EN/Countries/LACRegion/Pages/JMSummary.aspx" TargetMode="External"/><Relationship Id="rId37" Type="http://schemas.openxmlformats.org/officeDocument/2006/relationships/hyperlink" Target="https://www.ohchr.org/EN/Countries/AfricaRegion/Pages/GWIndex.aspx" TargetMode="External"/><Relationship Id="rId40" Type="http://schemas.openxmlformats.org/officeDocument/2006/relationships/hyperlink" Target="https://www.ohchr.org/EN/Countries/AfricaRegion/Pages/LRIndex.asp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hchr.org/EN/Countries/AfricaRegion/Pages/CDSummary1012.aspx" TargetMode="External"/><Relationship Id="rId23" Type="http://schemas.openxmlformats.org/officeDocument/2006/relationships/hyperlink" Target="https://www.ohchr.org/EN/Countries/AfricaRegion/Pages/KESummary.aspx" TargetMode="External"/><Relationship Id="rId28" Type="http://schemas.openxmlformats.org/officeDocument/2006/relationships/hyperlink" Target="https://www.ohchr.org/EN/Countries/AsiaRegion/Pages/LKSummary.aspx" TargetMode="External"/><Relationship Id="rId36" Type="http://schemas.openxmlformats.org/officeDocument/2006/relationships/hyperlink" Target="https://www.ohchr.org/EN/Countries/AfricaRegion/Pages/CDIndex.aspx" TargetMode="External"/><Relationship Id="rId10" Type="http://schemas.openxmlformats.org/officeDocument/2006/relationships/hyperlink" Target="https://www.ohchr.org/AR/AboutUs/Pages/HighCommissioner.aspx" TargetMode="External"/><Relationship Id="rId19" Type="http://schemas.openxmlformats.org/officeDocument/2006/relationships/hyperlink" Target="https://www.ohchr.org/EN/Countries/MENARegion/Pages/IQOHCHR.aspx" TargetMode="External"/><Relationship Id="rId31" Type="http://schemas.openxmlformats.org/officeDocument/2006/relationships/hyperlink" Target="https://www.ohchr.org/EN/Countries/LACRegion/Pages/ECSummary1314.asp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hchr.org/AR/UDHR/Pages/UDHRIndex.aspx" TargetMode="External"/><Relationship Id="rId14" Type="http://schemas.openxmlformats.org/officeDocument/2006/relationships/hyperlink" Target="https://www.ohchr.org/EN/Countries/AfricaRegion/Pages/CARSummary20162017.aspx" TargetMode="External"/><Relationship Id="rId22" Type="http://schemas.openxmlformats.org/officeDocument/2006/relationships/hyperlink" Target="https://www.ohchr.org/EN/Countries/LACRegion/Pages/HTSummary2017.aspx" TargetMode="External"/><Relationship Id="rId27" Type="http://schemas.openxmlformats.org/officeDocument/2006/relationships/hyperlink" Target="https://www.ohchr.org/EN/Countries/AsiaRegion/Pages/PGSummary.aspx" TargetMode="External"/><Relationship Id="rId30" Type="http://schemas.openxmlformats.org/officeDocument/2006/relationships/hyperlink" Target="https://www.ohchr.org/EN/Countries/ENACARegion/Pages/RUSummary20112016.aspx" TargetMode="External"/><Relationship Id="rId35" Type="http://schemas.openxmlformats.org/officeDocument/2006/relationships/hyperlink" Target="https://www.ohchr.org/EN/Countries/AfricaRegion/Pages/CFIndex.aspx" TargetMode="External"/><Relationship Id="rId43" Type="http://schemas.openxmlformats.org/officeDocument/2006/relationships/hyperlink" Target="https://www.ohchr.org/EN/Countries/AfricaRegion/Pages/SDIndex.aspx"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AR/Countries/Pages/WorkInField.aspx" TargetMode="External"/><Relationship Id="rId2" Type="http://schemas.openxmlformats.org/officeDocument/2006/relationships/hyperlink" Target="https://www.ohchr.org/AR/AboutUs/Pages/BriefHistory.aspx" TargetMode="External"/><Relationship Id="rId1" Type="http://schemas.openxmlformats.org/officeDocument/2006/relationships/hyperlink" Target="https://www.ohchr.org/AR/AboutUs/Pages/WhoWeAre.aspx" TargetMode="External"/><Relationship Id="rId5" Type="http://schemas.openxmlformats.org/officeDocument/2006/relationships/hyperlink" Target="https://www.ohchr.org/AR/AboutUs/Pages/WhatWeDo.aspx" TargetMode="External"/><Relationship Id="rId4" Type="http://schemas.openxmlformats.org/officeDocument/2006/relationships/hyperlink" Target="https://www.ohchr.org/AR/AboutUs/Pages/FundingBudget.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7A189920E541ECACED6DC02E5009D0"/>
        <w:category>
          <w:name w:val="Général"/>
          <w:gallery w:val="placeholder"/>
        </w:category>
        <w:types>
          <w:type w:val="bbPlcHdr"/>
        </w:types>
        <w:behaviors>
          <w:behavior w:val="content"/>
        </w:behaviors>
        <w:guid w:val="{9528F920-568C-46F9-A4EF-A20DF15FCF16}"/>
      </w:docPartPr>
      <w:docPartBody>
        <w:p w:rsidR="00C1442E" w:rsidRDefault="00A00EF9" w:rsidP="00A00EF9">
          <w:pPr>
            <w:pStyle w:val="CA7A189920E541ECACED6DC02E5009D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F9"/>
    <w:rsid w:val="006F136E"/>
    <w:rsid w:val="00706017"/>
    <w:rsid w:val="00A00EF9"/>
    <w:rsid w:val="00C144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7A189920E541ECACED6DC02E5009D0">
    <w:name w:val="CA7A189920E541ECACED6DC02E5009D0"/>
    <w:rsid w:val="00A00EF9"/>
  </w:style>
  <w:style w:type="paragraph" w:customStyle="1" w:styleId="A3140B728A674909856976D80BDFDF3B">
    <w:name w:val="A3140B728A674909856976D80BDFDF3B"/>
    <w:rsid w:val="00A00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7A189920E541ECACED6DC02E5009D0">
    <w:name w:val="CA7A189920E541ECACED6DC02E5009D0"/>
    <w:rsid w:val="00A00EF9"/>
  </w:style>
  <w:style w:type="paragraph" w:customStyle="1" w:styleId="A3140B728A674909856976D80BDFDF3B">
    <w:name w:val="A3140B728A674909856976D80BDFDF3B"/>
    <w:rsid w:val="00A00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AB4C-A8D5-4A4D-9A12-2394CB82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2578</Words>
  <Characters>14181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التعاون الدولي و حقوق الإنسان                                                                   المفوضية السامية لحقوق الإنسان</dc:title>
  <dc:creator>G3</dc:creator>
  <cp:lastModifiedBy>G3</cp:lastModifiedBy>
  <cp:revision>6</cp:revision>
  <dcterms:created xsi:type="dcterms:W3CDTF">2021-11-19T16:54:00Z</dcterms:created>
  <dcterms:modified xsi:type="dcterms:W3CDTF">2022-01-05T09:38:00Z</dcterms:modified>
</cp:coreProperties>
</file>