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4" w:rsidRPr="00A9419A" w:rsidRDefault="00030C64" w:rsidP="00F31655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</w:pPr>
      <w:r w:rsidRPr="00030C64">
        <w:rPr>
          <w:rFonts w:ascii="Segoe UI" w:eastAsia="Times New Roman" w:hAnsi="Segoe UI" w:cs="Segoe UI"/>
          <w:color w:val="1D2228"/>
          <w:sz w:val="20"/>
          <w:szCs w:val="20"/>
        </w:rPr>
        <w:br/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  <w:t>ملخص المحاضر</w:t>
      </w:r>
      <w:r w:rsidR="00CD6D07" w:rsidRPr="00A9419A"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  <w:t>ة ال</w:t>
      </w:r>
      <w:r w:rsidR="00F31655" w:rsidRPr="00A9419A"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  <w:t>ثالثة</w:t>
      </w:r>
    </w:p>
    <w:p w:rsidR="00030C64" w:rsidRPr="00A9419A" w:rsidRDefault="00F405D0" w:rsidP="00F31655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  <w:t>"</w:t>
      </w:r>
      <w:r w:rsidR="00F31655" w:rsidRPr="00A9419A"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  <w:t>الفكر الاقتصادي العربي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  <w:rtl/>
        </w:rPr>
        <w:t>"</w:t>
      </w:r>
    </w:p>
    <w:p w:rsidR="00FC01A9" w:rsidRPr="00A9419A" w:rsidRDefault="00FC01A9" w:rsidP="00FC01A9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1D2228"/>
          <w:sz w:val="40"/>
          <w:szCs w:val="40"/>
        </w:rPr>
      </w:pPr>
    </w:p>
    <w:p w:rsidR="00AA2BED" w:rsidRPr="00A9419A" w:rsidRDefault="00FC01A9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FC01A9">
        <w:rPr>
          <w:rFonts w:ascii="Times New Roman" w:eastAsia="Times New Roman" w:hAnsi="Times New Roman" w:cs="Times New Roman"/>
          <w:sz w:val="24"/>
          <w:szCs w:val="24"/>
        </w:rPr>
        <w:br/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عموما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جاء الفكر الاقتصادي العربي في ال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  <w:lang w:bidi="ar-DZ"/>
        </w:rPr>
        <w:t>قرنين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الرابع عشر والخامس عشر في خضم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أبحاث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العرب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حول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فلسفه التاريخ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-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ابن خلدون 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ساسا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-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ويمكن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إيضاح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ذلك من خلال استعراض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أهم الأ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نشط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الاقتصادي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التي عرفها المجتمع العربي في هذه المرحل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إلى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جانب استعراض دراسات كل من تقي ال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دين المق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ريزي حول الظواهر النقدي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وعبد الرحمن ابن خلدون حول ظاهر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القيم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؛</w:t>
      </w:r>
    </w:p>
    <w:p w:rsidR="00AA2BED" w:rsidRPr="00A9419A" w:rsidRDefault="00AA2BED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</w:p>
    <w:p w:rsidR="00AA2BED" w:rsidRPr="00A9419A" w:rsidRDefault="00FC01A9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ولا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: أ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هم </w:t>
      </w:r>
      <w:r w:rsidR="00F405D0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الأنشطة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الاقتصادي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عند العرب في القرنين الرابع عشر والخامس عشر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:</w:t>
      </w:r>
    </w:p>
    <w:p w:rsidR="00F405D0" w:rsidRPr="00A9419A" w:rsidRDefault="00F405D0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</w:pPr>
    </w:p>
    <w:p w:rsidR="00AA2BED" w:rsidRPr="00A9419A" w:rsidRDefault="008A56FB" w:rsidP="00A9419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إنتاج</w:t>
      </w:r>
      <w:r w:rsidR="00FC01A9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المبادل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الصغير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ة: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يغلب عليه الطابع الزراعي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، تتم فيه عملي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ت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الإنتاج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والمبادل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بواسط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صغار المنتجين الذين يملكون وسائل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الإنتاج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ما عدا الأرض 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التي يعود للسلطان الحق المباشر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فيها، يوجه فائض الإنتاج لإعاشة المماليك.</w:t>
      </w:r>
    </w:p>
    <w:p w:rsidR="00AA2BED" w:rsidRPr="00A9419A" w:rsidRDefault="00AA2BED" w:rsidP="00A9419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الإنتاج بقصد </w:t>
      </w:r>
      <w:r w:rsidR="008A56FB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إشباع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حاجات المنتجين المباشرين.</w:t>
      </w:r>
    </w:p>
    <w:p w:rsidR="00AA2BED" w:rsidRPr="00A9419A" w:rsidRDefault="00AA2BED" w:rsidP="00A9419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النشاط التجاري؛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شهد انتعاشا كبيرا 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بفعل نشاط تجاره ايطاليا مع الشرق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،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وشكلت مصر ملتقى التجار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بين الشرق والغرب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.</w:t>
      </w:r>
    </w:p>
    <w:p w:rsidR="00AA2BED" w:rsidRPr="00A9419A" w:rsidRDefault="00FC01A9" w:rsidP="00A9419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lastRenderedPageBreak/>
        <w:t xml:space="preserve"> 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النشاط الصناعي والحرفي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؛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كان له الدور ا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لبارز في ازدهار بعض المدن التي 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صبحت مراكز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اشعاع فكري ك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ـــ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تلمسان والقاهرة وفاس و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غرناط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ة.</w:t>
      </w:r>
    </w:p>
    <w:p w:rsidR="00F405D0" w:rsidRPr="00A9419A" w:rsidRDefault="00F405D0" w:rsidP="00A9419A">
      <w:pPr>
        <w:pStyle w:val="Paragraphedeliste"/>
        <w:bidi/>
        <w:spacing w:after="0" w:line="360" w:lineRule="auto"/>
        <w:ind w:left="1095"/>
        <w:jc w:val="both"/>
        <w:rPr>
          <w:rFonts w:ascii="Sakkal Majalla" w:eastAsia="Times New Roman" w:hAnsi="Sakkal Majalla" w:cs="Sakkal Majalla"/>
          <w:sz w:val="36"/>
          <w:szCs w:val="36"/>
        </w:rPr>
      </w:pPr>
    </w:p>
    <w:p w:rsidR="00F405D0" w:rsidRPr="00A9419A" w:rsidRDefault="00FC01A9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ثانيا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: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الظواهر النقدي</w:t>
      </w:r>
      <w:r w:rsidR="008A56FB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في ف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كر المقري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زي</w:t>
      </w:r>
      <w:r w:rsidR="00AA2BED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:</w:t>
      </w:r>
    </w:p>
    <w:p w:rsidR="008A56FB" w:rsidRPr="00A9419A" w:rsidRDefault="00FC01A9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يتجلى اهتمام 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المقريزي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بالمشكلات الاقتصادي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من خلال افكاره عن الظواهر النقدي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انطلاقا من دراسته للمجاع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في مجتمع سابق عن الرأ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سمالي</w:t>
      </w:r>
      <w:r w:rsidR="00AA2BED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ة، وقد وضح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من خلال دراساته المع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ق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للمجاعات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التي عرفها المجتمع المصري و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رجع ذلك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إلى؛</w:t>
      </w:r>
    </w:p>
    <w:p w:rsidR="008A56FB" w:rsidRPr="00A9419A" w:rsidRDefault="00FC01A9" w:rsidP="00A9419A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سباب طبيعي</w:t>
      </w:r>
      <w:r w:rsidR="008A56FB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ة: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كقصور سيل نهر النيل في مصر والجفاف في الشام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.</w:t>
      </w:r>
    </w:p>
    <w:p w:rsidR="008A56FB" w:rsidRPr="00A9419A" w:rsidRDefault="00FC01A9" w:rsidP="00A9419A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أسباب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سياسي</w:t>
      </w:r>
      <w:r w:rsidR="008A56FB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ة: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فساد الجهاز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الإداري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ثره المباشر على عمليه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الإنتاج،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إلى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جانب السياس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الاحتكاري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هل المدن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.</w:t>
      </w:r>
    </w:p>
    <w:p w:rsidR="008A56FB" w:rsidRPr="00A9419A" w:rsidRDefault="00FC01A9" w:rsidP="00A9419A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أسباب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اقتصادي</w:t>
      </w:r>
      <w:r w:rsidR="00A9419A">
        <w:rPr>
          <w:rFonts w:ascii="Sakkal Majalla" w:eastAsia="Times New Roman" w:hAnsi="Sakkal Majalla" w:cs="Sakkal Majalla" w:hint="cs"/>
          <w:color w:val="1D2228"/>
          <w:sz w:val="36"/>
          <w:szCs w:val="36"/>
          <w:shd w:val="clear" w:color="auto" w:fill="FFFFFF"/>
          <w:rtl/>
          <w:lang w:bidi="ar-DZ"/>
        </w:rPr>
        <w:t>ة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: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وهي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أهم افكاره، وتتمثل في تأ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ثير النقود على النشاط الاقتصادي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للإنسان، وفي هذا الإطار يرى المقريزي بأن "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زياد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كميه النقود يعتبر سببا في ارتفاع المستوى العام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للأسعار"؛ ففي تداول يتميز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باستخدام نوعين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و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كثر من العمل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(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الدينار الذهبي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، الدرهم الفضي، الف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س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النحاسي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) يرى المق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ريزي انه و في فتر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المجاع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تميل العمل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المصنوع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من المعدن الثمين للاختفاء من التداول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(ت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وجه لاستخدامات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خرى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)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مفسحه المجال للعمل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الأخرى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(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الرديئ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ة)،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وهكذا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،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حسبه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،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تطرد العمل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الرديئ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العمل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الجيد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 وهو ما يمثل حاليا جوهره "قانون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جيري شام الشهير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".</w:t>
      </w:r>
    </w:p>
    <w:p w:rsidR="00F405D0" w:rsidRPr="00A9419A" w:rsidRDefault="00F405D0" w:rsidP="00A9419A">
      <w:pPr>
        <w:pStyle w:val="Paragraphedeliste"/>
        <w:bidi/>
        <w:spacing w:after="0" w:line="360" w:lineRule="auto"/>
        <w:ind w:left="1080"/>
        <w:jc w:val="both"/>
        <w:rPr>
          <w:rFonts w:ascii="Sakkal Majalla" w:eastAsia="Times New Roman" w:hAnsi="Sakkal Majalla" w:cs="Sakkal Majalla"/>
          <w:sz w:val="36"/>
          <w:szCs w:val="36"/>
        </w:rPr>
      </w:pPr>
    </w:p>
    <w:p w:rsidR="00F405D0" w:rsidRPr="00A9419A" w:rsidRDefault="008A56FB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ثالثا:</w:t>
      </w:r>
      <w:r w:rsidR="00FC01A9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ظاهره القيم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 xml:space="preserve"> عند ابن خلدون</w:t>
      </w:r>
      <w:r w:rsidRPr="00A9419A"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shd w:val="clear" w:color="auto" w:fill="FFFFFF"/>
          <w:rtl/>
        </w:rPr>
        <w:t>: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</w:p>
    <w:p w:rsidR="008A56FB" w:rsidRPr="00A9419A" w:rsidRDefault="00FC01A9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يرى العلام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ابن خلدون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ن الظواهر الاقتصادي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"أساس العمران"، ولهذا خصص للنشاط الاقتصادي الباب الخامس من الكتاب الأول للمقدم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تحت عنوان "في المعاش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ووجوبه من الكسب وال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صنائع وما يعرض في ذلك كله من الأ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حوال وفيه من المسائل</w:t>
      </w:r>
      <w:r w:rsidR="008A56FB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".</w:t>
      </w:r>
    </w:p>
    <w:p w:rsidR="008A56FB" w:rsidRPr="00A9419A" w:rsidRDefault="008A56FB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-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يرى ابن خلدون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ن ثرو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مم تكم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ن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في ما تنتجه الصنائع والحرف وباقي مظاهر النشاط الاقتصادي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و ما يسميه ب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ـــ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ــ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وجوه المعاش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".</w:t>
      </w:r>
    </w:p>
    <w:p w:rsidR="00F405D0" w:rsidRPr="00A9419A" w:rsidRDefault="008A56FB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-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يرى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أن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التعاون بين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فراد المجتمع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مر حتمي لاستمرار الجنس البشري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؛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فاجتماع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عمال الناس يسمح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بإ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نتاج ما يشبع الحاجات وكذا ما يسميه ب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ـــ"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الفضل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ي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الفائض الاقتصادي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".</w:t>
      </w:r>
    </w:p>
    <w:p w:rsidR="00F405D0" w:rsidRPr="00A9419A" w:rsidRDefault="00F405D0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-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أهم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فكاره حول القيم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التي يرى ب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ن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العمل مصدر القيم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أ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ن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المنفع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شرط القيم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ة"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(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المنفع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تشير الى ضرور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وجود طلب اجتماعي على السلع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ة).</w:t>
      </w:r>
    </w:p>
    <w:p w:rsidR="00F405D0" w:rsidRPr="00A9419A" w:rsidRDefault="00F405D0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-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في تحليله للقيم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يبرر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ويفسر 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ابن خلدون اختلاف قيم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سلع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ة ما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ويرجعه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إ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لى </w:t>
      </w:r>
    </w:p>
    <w:p w:rsidR="00F405D0" w:rsidRPr="00A9419A" w:rsidRDefault="00F405D0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         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اختلاف المكان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(اختلاف الأسعار بين الأندلس وشمال إفريقيا)</w:t>
      </w:r>
    </w:p>
    <w:p w:rsidR="00F405D0" w:rsidRPr="00A9419A" w:rsidRDefault="00F405D0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         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واختلاف التكاليف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(قليلة في شمال إفريقيا ومرتفعة في الأندلس وهو ما يؤثر على الأسعار)</w:t>
      </w:r>
    </w:p>
    <w:p w:rsidR="00FC01A9" w:rsidRPr="00A9419A" w:rsidRDefault="00F405D0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- ابن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خلدون وعلى خلاف المدرسيين لا يبحث عن تفسير الثمن العادل 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وإنما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 xml:space="preserve"> على تفسير الثمن الجاري في السوق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  <w:rtl/>
        </w:rPr>
        <w:t>.</w:t>
      </w:r>
      <w:r w:rsidR="00FC01A9" w:rsidRPr="00A9419A">
        <w:rPr>
          <w:rFonts w:ascii="Sakkal Majalla" w:eastAsia="Times New Roman" w:hAnsi="Sakkal Majalla" w:cs="Sakkal Majalla"/>
          <w:color w:val="1D2228"/>
          <w:sz w:val="36"/>
          <w:szCs w:val="36"/>
          <w:shd w:val="clear" w:color="auto" w:fill="FFFFFF"/>
        </w:rPr>
        <w:t> </w:t>
      </w:r>
    </w:p>
    <w:p w:rsidR="00FC01A9" w:rsidRPr="00A9419A" w:rsidRDefault="00FC01A9" w:rsidP="00A9419A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1D2228"/>
          <w:sz w:val="36"/>
          <w:szCs w:val="36"/>
        </w:rPr>
      </w:pP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lastRenderedPageBreak/>
        <w:t xml:space="preserve">يعتبر ابن خلدون من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>أوائل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 xml:space="preserve"> من 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>اثأر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 xml:space="preserve"> فكره فائض القيم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>ة</w:t>
      </w:r>
      <w:r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 xml:space="preserve"> التي ستصبح فيما بعد كما سنرى محور علم الاقتصاد السياسي</w:t>
      </w:r>
      <w:r w:rsidR="00F405D0" w:rsidRPr="00A9419A">
        <w:rPr>
          <w:rFonts w:ascii="Sakkal Majalla" w:eastAsia="Times New Roman" w:hAnsi="Sakkal Majalla" w:cs="Sakkal Majalla"/>
          <w:color w:val="1D2228"/>
          <w:sz w:val="36"/>
          <w:szCs w:val="36"/>
          <w:rtl/>
        </w:rPr>
        <w:t>.</w:t>
      </w:r>
    </w:p>
    <w:p w:rsidR="00CD6D07" w:rsidRPr="00A9419A" w:rsidRDefault="00CD6D07" w:rsidP="00A9419A">
      <w:pPr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1D2228"/>
          <w:sz w:val="36"/>
          <w:szCs w:val="36"/>
          <w:rtl/>
        </w:rPr>
      </w:pPr>
    </w:p>
    <w:p w:rsidR="00B653DD" w:rsidRPr="00FC01A9" w:rsidRDefault="00B653DD" w:rsidP="00FC01A9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B653DD" w:rsidRPr="00FC01A9" w:rsidSect="00844B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B6" w:rsidRDefault="008F13B6" w:rsidP="004E7E5D">
      <w:pPr>
        <w:spacing w:after="0" w:line="240" w:lineRule="auto"/>
      </w:pPr>
      <w:r>
        <w:separator/>
      </w:r>
    </w:p>
  </w:endnote>
  <w:endnote w:type="continuationSeparator" w:id="1">
    <w:p w:rsidR="008F13B6" w:rsidRDefault="008F13B6" w:rsidP="004E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B6" w:rsidRDefault="008F13B6" w:rsidP="004E7E5D">
      <w:pPr>
        <w:spacing w:after="0" w:line="240" w:lineRule="auto"/>
      </w:pPr>
      <w:r>
        <w:separator/>
      </w:r>
    </w:p>
  </w:footnote>
  <w:footnote w:type="continuationSeparator" w:id="1">
    <w:p w:rsidR="008F13B6" w:rsidRDefault="008F13B6" w:rsidP="004E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5D" w:rsidRPr="004E7E5D" w:rsidRDefault="004E7E5D" w:rsidP="004E7E5D">
    <w:pPr>
      <w:pStyle w:val="En-tte"/>
      <w:rPr>
        <w:b/>
        <w:bCs/>
        <w:lang w:bidi="ar-DZ"/>
      </w:rPr>
    </w:pPr>
    <w:r w:rsidRPr="004E7E5D">
      <w:rPr>
        <w:rFonts w:hint="cs"/>
        <w:b/>
        <w:bCs/>
        <w:rtl/>
        <w:lang w:bidi="ar-DZ"/>
      </w:rPr>
      <w:t xml:space="preserve">د. بلال لعيساني                              ملخص محاضرات في الاقتصاد السياسي   </w:t>
    </w:r>
    <w:r>
      <w:rPr>
        <w:rFonts w:hint="cs"/>
        <w:b/>
        <w:bCs/>
        <w:rtl/>
        <w:lang w:bidi="ar-DZ"/>
      </w:rPr>
      <w:t xml:space="preserve"> </w:t>
    </w:r>
    <w:r w:rsidRPr="004E7E5D">
      <w:rPr>
        <w:rFonts w:hint="cs"/>
        <w:b/>
        <w:bCs/>
        <w:rtl/>
        <w:lang w:bidi="ar-DZ"/>
      </w:rPr>
      <w:t xml:space="preserve">            السنة الأولى جذع مشترك حقوق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0E3"/>
    <w:multiLevelType w:val="hybridMultilevel"/>
    <w:tmpl w:val="BCC0C08E"/>
    <w:lvl w:ilvl="0" w:tplc="37CC2040">
      <w:start w:val="1"/>
      <w:numFmt w:val="decimal"/>
      <w:lvlText w:val="%1-"/>
      <w:lvlJc w:val="left"/>
      <w:pPr>
        <w:ind w:left="1080" w:hanging="720"/>
      </w:pPr>
      <w:rPr>
        <w:rFonts w:hint="default"/>
        <w:color w:val="1D22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6210"/>
    <w:multiLevelType w:val="hybridMultilevel"/>
    <w:tmpl w:val="1BACEA06"/>
    <w:lvl w:ilvl="0" w:tplc="207EF8BE">
      <w:start w:val="1"/>
      <w:numFmt w:val="decimal"/>
      <w:lvlText w:val="%1-"/>
      <w:lvlJc w:val="left"/>
      <w:pPr>
        <w:ind w:left="1095" w:hanging="720"/>
      </w:pPr>
      <w:rPr>
        <w:rFonts w:hint="default"/>
        <w:color w:val="1D2228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89A7285"/>
    <w:multiLevelType w:val="hybridMultilevel"/>
    <w:tmpl w:val="AF0E3C62"/>
    <w:lvl w:ilvl="0" w:tplc="6D468520">
      <w:start w:val="1"/>
      <w:numFmt w:val="decimal"/>
      <w:lvlText w:val="%1-"/>
      <w:lvlJc w:val="left"/>
      <w:pPr>
        <w:ind w:left="9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C64"/>
    <w:rsid w:val="00030C64"/>
    <w:rsid w:val="00300880"/>
    <w:rsid w:val="004D1446"/>
    <w:rsid w:val="004E7E5D"/>
    <w:rsid w:val="005B3A5D"/>
    <w:rsid w:val="00844B4E"/>
    <w:rsid w:val="00866517"/>
    <w:rsid w:val="008A56FB"/>
    <w:rsid w:val="008B4739"/>
    <w:rsid w:val="008F13B6"/>
    <w:rsid w:val="00A55EDB"/>
    <w:rsid w:val="00A9419A"/>
    <w:rsid w:val="00AA2BED"/>
    <w:rsid w:val="00AB134A"/>
    <w:rsid w:val="00B653DD"/>
    <w:rsid w:val="00B815C0"/>
    <w:rsid w:val="00C50E59"/>
    <w:rsid w:val="00C93D7A"/>
    <w:rsid w:val="00CD6D07"/>
    <w:rsid w:val="00E250E9"/>
    <w:rsid w:val="00E575DB"/>
    <w:rsid w:val="00F31655"/>
    <w:rsid w:val="00F405D0"/>
    <w:rsid w:val="00F96BB5"/>
    <w:rsid w:val="00F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5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7E5D"/>
  </w:style>
  <w:style w:type="paragraph" w:styleId="Pieddepage">
    <w:name w:val="footer"/>
    <w:basedOn w:val="Normal"/>
    <w:link w:val="PieddepageCar"/>
    <w:uiPriority w:val="99"/>
    <w:semiHidden/>
    <w:unhideWhenUsed/>
    <w:rsid w:val="004E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bilel</cp:lastModifiedBy>
  <cp:revision>15</cp:revision>
  <dcterms:created xsi:type="dcterms:W3CDTF">2022-03-18T17:24:00Z</dcterms:created>
  <dcterms:modified xsi:type="dcterms:W3CDTF">2023-03-04T22:51:00Z</dcterms:modified>
</cp:coreProperties>
</file>