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1" w:rsidRDefault="00616BB1" w:rsidP="00176B5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الثامنة</w:t>
      </w:r>
      <w:r w:rsidR="0076324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:المدارس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الجيوسياسية المفسرة لديناميكية العلاقات الدولية</w:t>
      </w:r>
      <w:r w:rsidR="0076324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-02-</w:t>
      </w:r>
    </w:p>
    <w:p w:rsidR="00763247" w:rsidRDefault="00763247" w:rsidP="0076324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-المدرسة الجيوسياسية الروسية </w:t>
      </w:r>
    </w:p>
    <w:p w:rsidR="00763247" w:rsidRPr="00176B52" w:rsidRDefault="00763247" w:rsidP="0076324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-المدرسة الجيوسياسية الفرنسية</w:t>
      </w:r>
    </w:p>
    <w:p w:rsidR="00616BB1" w:rsidRPr="00176B52" w:rsidRDefault="00616BB1" w:rsidP="00176B5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</w:p>
    <w:p w:rsidR="002C7D7C" w:rsidRPr="00176B52" w:rsidRDefault="00763247" w:rsidP="00176B5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1-ال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مدرسة</w:t>
      </w:r>
      <w:r w:rsidR="00616BB1" w:rsidRPr="00176B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الجيوسياسية ال</w:t>
      </w:r>
      <w:r w:rsidR="00424854" w:rsidRPr="00176B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روسية</w:t>
      </w:r>
      <w:r w:rsidR="00616BB1" w:rsidRPr="00176B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tbl>
      <w:tblPr>
        <w:tblStyle w:val="Grilledutableau"/>
        <w:bidiVisual/>
        <w:tblW w:w="9297" w:type="dxa"/>
        <w:tblLook w:val="04A0"/>
      </w:tblPr>
      <w:tblGrid>
        <w:gridCol w:w="1804"/>
        <w:gridCol w:w="7493"/>
      </w:tblGrid>
      <w:tr w:rsidR="00616BB1" w:rsidRPr="00176B52" w:rsidTr="002C7D7C">
        <w:trPr>
          <w:trHeight w:val="253"/>
        </w:trPr>
        <w:tc>
          <w:tcPr>
            <w:tcW w:w="1804" w:type="dxa"/>
          </w:tcPr>
          <w:p w:rsidR="00616BB1" w:rsidRPr="00176B52" w:rsidRDefault="00616BB1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76B5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النظرية</w:t>
            </w:r>
          </w:p>
        </w:tc>
        <w:tc>
          <w:tcPr>
            <w:tcW w:w="7493" w:type="dxa"/>
          </w:tcPr>
          <w:p w:rsidR="00616BB1" w:rsidRPr="00176B52" w:rsidRDefault="00616BB1" w:rsidP="00176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76B5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مضمونها</w:t>
            </w:r>
          </w:p>
        </w:tc>
      </w:tr>
      <w:tr w:rsidR="00616BB1" w:rsidRPr="00176B52" w:rsidTr="002C7D7C">
        <w:trPr>
          <w:trHeight w:val="253"/>
        </w:trPr>
        <w:tc>
          <w:tcPr>
            <w:tcW w:w="1804" w:type="dxa"/>
          </w:tcPr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176B5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الإطار العام للجيوسياسية في روسيا</w:t>
            </w: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8A0CB3" w:rsidRPr="00176B52" w:rsidRDefault="008A0CB3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25488" w:rsidRDefault="00C25488" w:rsidP="00176B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25488" w:rsidRDefault="00C25488" w:rsidP="00C2548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25488" w:rsidRDefault="00C25488" w:rsidP="00C2548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C2548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029A7" w:rsidRDefault="00A029A7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616BB1" w:rsidRDefault="00E75594" w:rsidP="00A029A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632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ألكسندر دوغين</w:t>
            </w:r>
          </w:p>
          <w:p w:rsidR="00763247" w:rsidRDefault="00763247" w:rsidP="00763247">
            <w:pPr>
              <w:bidi/>
              <w:rPr>
                <w:rFonts w:ascii="Times New Roman" w:eastAsia="Times New Roman" w:hAnsi="Times New Roman" w:cs="Times New Roman" w:hint="cs"/>
                <w:b/>
                <w:color w:val="000000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Alexander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Dugin</w:t>
            </w:r>
          </w:p>
          <w:p w:rsidR="00D22324" w:rsidRPr="00D22324" w:rsidRDefault="00D22324" w:rsidP="00D22324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22324">
              <w:rPr>
                <w:rFonts w:ascii="Traditional Arabic" w:eastAsia="Times New Roman" w:hAnsi="Traditional Arabic" w:cs="Traditional Arabic"/>
                <w:bCs/>
                <w:color w:val="000000"/>
                <w:sz w:val="28"/>
                <w:szCs w:val="28"/>
                <w:rtl/>
              </w:rPr>
              <w:t xml:space="preserve">أوراسيا الجديدة والمنطق الراديكالي في الجيوسياسية الروسية </w:t>
            </w:r>
          </w:p>
        </w:tc>
        <w:tc>
          <w:tcPr>
            <w:tcW w:w="7493" w:type="dxa"/>
          </w:tcPr>
          <w:p w:rsidR="008A0CB3" w:rsidRPr="00176B52" w:rsidRDefault="00CC1850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تعتبر الجيوسياسية في الاتحاد السوفيتي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علم برجوازي رجعي يهدف إلى ت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برير توسع الإمبريالية الدولية،لكن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أدت الأحداث السياسية المضطربة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أثناء انهيار الاتحاد السوفيتي،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البحث من قبل الد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 المستقلة حديث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 عن مكانها على الخريطة 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لسياسية العالمية وبناء الهوية،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اندلاع الصراعات الإث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نية الإقليمية ومسائل الحدود،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انتخابات ديمقراطية ومشاريع إصل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اح هيكل الدولة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إلى زي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ادة الاهتمام بالجيوسياسة،حيث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تميزت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فترة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التسعينيات بزيادة سريعة في عدد المنشورات في هذه المجالات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ولم يقتصر الأمر على المفكرون والكتاب ال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جغراف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يين بل أيضا علماء سياسيين و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أساتذة سابقون في الفلسفة الماركسية اللينينية والشيوعية العلمية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283FD0" w:rsidRPr="00176B52" w:rsidRDefault="00C33DDC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الفترة الحالية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لايزال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الاهتم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ام العلمي بالجيوسياسية كبيرا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حيث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 إنشاء قسم السيا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سة الإقليمية والجيوسياسية في جامعة سانت بطرسبرغ،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كما ظهرت أقسام سياسية وجغرافية في الجامعات الرائدة في موسكو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</w:rPr>
              <w:t xml:space="preserve"> MGIMO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</w:rPr>
              <w:t xml:space="preserve"> National Research University "Higher School of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</w:rPr>
              <w:t>Economic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</w:rPr>
              <w:t xml:space="preserve">s". 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كما تم نشر أعمال من قبل مفكرين من مراكز بحثية روسية أخرى:أورينبورغ وإيركوتسك،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فلاديفوستوك وكالينينغراد، سمولينسك وأولان-أودي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،يثبت هذا كان وجود اتجاه واضح في تطوير الجيوسياسة بتضييق الحدود بين التخصصات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خاصة بين الجغرافيا </w:t>
            </w:r>
            <w:r w:rsidR="00CC185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والعلوم السياسية وعلم الاجتماع</w:t>
            </w:r>
            <w:r w:rsidR="00283FD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A0CB3" w:rsidRPr="00176B52" w:rsidRDefault="00283FD0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-على مدى العقد الماضي </w:t>
            </w:r>
            <w:r w:rsidR="00A029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تغيرت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العلاقة في عد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 الدراسات في المجالات الفردية حيث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انخفض </w:t>
            </w:r>
            <w:r w:rsidR="00B32B7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الاهتمام بالجغرافيا الانتخابية،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لكن الاهتما</w:t>
            </w:r>
            <w:r w:rsidR="00B32B7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 بدراسة الحدود والإقليمية وتمث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 المواطنين عن مكان بلدهم ومنطقتهم في العالم قد زاد</w:t>
            </w:r>
            <w:r w:rsidR="00B32B7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،إضافة إلى اهتمام  دراسة التحول إلى الشرق </w:t>
            </w:r>
            <w:r w:rsidR="008A0CB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السياسة الخارجية الروسية ومفهوم أوراسيا الكبرى</w:t>
            </w:r>
            <w:r w:rsidR="00B32B7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0F6CB8" w:rsidRPr="00176B52" w:rsidRDefault="000F6CB8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0F6CB8" w:rsidRPr="00176B52" w:rsidRDefault="007875FF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-بالنسبة </w:t>
            </w:r>
            <w:r w:rsidRPr="0091020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لدوغين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الجيوسياسية هي رؤية العالم للقوة أو علم عن السلطة وللسلطة</w:t>
            </w:r>
            <w:r w:rsidR="006B39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عبر مسار عقلاني،كما انها 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علم كيفية الحكم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نخبوية بطبيع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تها</w:t>
            </w:r>
            <w:r w:rsidR="006B39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خلال ربطها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بالنخب 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يمكنها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وحدها فهم توزيع القوة في العلاقات الدولية،بارتباط هذه النخب الجيوسياسية 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بالمواقف والمبادئ والأيديولوجيات والاستراتيجيات الوطنية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يمكن تبني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عالمية للوضع مما يسمح بتحليل عقلاني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لفترة تاريخية كاملة</w:t>
            </w:r>
            <w:r w:rsidR="000F6CB8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7875FF" w:rsidRPr="00176B52" w:rsidRDefault="007875FF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-يتبنى دوغين فكرة أن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الاتحاد السوفيتي أو روسيا هي القوة العظمى البرية التي تتن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افس مع إمبراطوريات بحرية عظيمة ت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قودها الولايات المتحدة وبريطانيا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،بالتالي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تتمثل الخطوة الأولى لروسيا في إضعاف الولايات المتحدة وبريطانيا وقطع صلاتهما بالقارة الأوروبية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،كما أن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مصير روسيا هو جذب أوروبا نحوها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75594" w:rsidRPr="00176B52" w:rsidRDefault="007875FF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-يؤكد دوغين أن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أوكرانيا ليست دو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لة منفصلة </w:t>
            </w:r>
            <w:r w:rsidR="0091020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ولم تكن كذلك</w:t>
            </w:r>
            <w:r w:rsidR="009102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بل </w:t>
            </w:r>
            <w:r w:rsidR="0091020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جزء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روسيا الكب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رى</w:t>
            </w:r>
            <w:r w:rsidR="00D2232F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10201">
              <w:rPr>
                <w:rFonts w:ascii="Traditional Arabic" w:hAnsi="Traditional Arabic" w:cs="Traditional Arabic"/>
                <w:sz w:val="28"/>
                <w:szCs w:val="28"/>
                <w:rtl/>
              </w:rPr>
              <w:t>حيث تشترك في أ</w:t>
            </w:r>
            <w:r w:rsidR="009102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مور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كثيرة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في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ذلك الإيمان الأرثوذكسي الروسي،ف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D2232F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لكنيسة الأرثوذكسية الروسية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مقدر لها أن تحكم كإمبراطو</w:t>
            </w:r>
            <w:r w:rsidR="00D2232F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رية جميع أنحاء أوروبا وآسيا،لقد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خ</w:t>
            </w:r>
            <w:r w:rsidR="00D2232F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دمت توجيهات دوغين بوتين من خلال الدفاع عن أحقية روسيا في القيام بالحرب الروسي ك</w:t>
            </w:r>
            <w:r w:rsidR="00B825A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مهمة دينية لنشر الأرثوذكسية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باستخدام سياسة القوة والعنف</w:t>
            </w:r>
            <w:r w:rsidR="00B825A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،يفسر هذا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سبب دعم رج</w:t>
            </w:r>
            <w:r w:rsidR="00B825A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 الدين الأرثوذكس الروس ل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بوتين </w:t>
            </w:r>
            <w:r w:rsidR="00B825A0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 حربه على أوكرانيا،أما من الناحية الاستراتيجية 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فهي الدولة الواقعة ع</w:t>
            </w:r>
            <w:r w:rsidR="00FC309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لى الساحل الشمالي للبحر الأسود  بالتالي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C309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ف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الإمبراطورية الروسية المستقب</w:t>
            </w:r>
            <w:r w:rsidR="00FC309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لية 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مقدر لها أن يكون لها سيطرة كاملة على البحر الأسود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616BB1" w:rsidRPr="00176B52" w:rsidRDefault="00FC3093" w:rsidP="00176B5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يعارض دوغين الل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يبرالية و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خاصة الهيمنة الأمريكية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خلال وضع ن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ظريات حول تأسيس إمبراطورية أوروبية آسيوية قادرة على محاربة العالم 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لغربي بقيادة الولايات المتحدة،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 يعتبرها العدو اللدود لروسيا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،ف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الأولوية السياسية الأولى يجب أن تكون خلق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دولة قوية وصلبة 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تتميز بالاستقرار والنظام</w:t>
            </w:r>
            <w:r w:rsidR="00E75594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221523" w:rsidRPr="00176B52" w:rsidRDefault="00324C1E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-إن المعسكر الغربي الذي تقوده الولايات المتحدة، عزز هيمنته من خلال الانضمام إلى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المنظمات الإقليمية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والدولية المختلفة،في المقابل فإن الدول الأوراسية 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 تعارضها بشكل طبيعي 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غير منظمة وبالتالي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لابد من إيجاد ميكانيزمات للمواجهة.</w:t>
            </w:r>
          </w:p>
          <w:p w:rsidR="00221523" w:rsidRPr="00176B52" w:rsidRDefault="00324C1E" w:rsidP="004D765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-أوراسيا الإمبراطورية الروسية ال</w:t>
            </w:r>
            <w:r w:rsidR="00707F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</w:t>
            </w:r>
            <w:r w:rsidR="00707F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قبلية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يمكن أن تكتمل حتى يتم تفكيك الصين كقوة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،فالمخيال التاريخي الذي يسيطر على فكر دوغين والمتمثل في فشل هتلر غزو روسيا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لكانت 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روسيا وأ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لمانيا واليابان قد شكلت تحالفا فاشي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كان من شأنه أن يسيطر على العالم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مثل هذا التحالف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كانت روسيا ستكون أيضا الشريك الأقوى 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حيث تسيطر بشكل أساسي على منطقة تمتد من دبلن إلى فلاديفوستوك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2D4603" w:rsidRPr="00176B52" w:rsidRDefault="00324C1E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-يدعم دوغين قرارات بوتين ب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غزو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جورجيا عام 2008  والحرب في 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أوكرانيا عام 2022</w:t>
            </w:r>
            <w:r w:rsidR="00221523" w:rsidRPr="00176B5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E75594" w:rsidRPr="00176B52" w:rsidRDefault="002D4603" w:rsidP="00176B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-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نذ  التسعينات 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كان دوغين يحث النخب الروسية 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على اتباع سياسة معادية لأمريكا حيث 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اقترح استراتيجية متعددة الأوجه تتضمن دعم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جميع أشكال الحركات الانفصالية والصراعات العرقية والاجتماعية 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والجماعات المتطرفة العنصرية والطائفية العاملة داخل الولايات المتحدة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،حيث كان يؤكد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هذه الأنشطة ستزعزع استقرار النظام ال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سياسي للبلد وتضعف نفوذه العالمي،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بالإضافة إل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ى ذلك 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دوغين روسيا على دعم الميول الا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نعزالية داخل السياسة الأمريكية 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خاصة تلك التي يدع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 إليها مؤيدو الرئيس ترامب</w:t>
            </w:r>
            <w:r w:rsidR="00221523" w:rsidRPr="00221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المحافظون</w:t>
            </w:r>
            <w:r w:rsidRPr="00176B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الجدد.</w:t>
            </w:r>
          </w:p>
        </w:tc>
      </w:tr>
    </w:tbl>
    <w:p w:rsidR="00616BB1" w:rsidRPr="00036878" w:rsidRDefault="00616BB1" w:rsidP="00616BB1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</w:p>
    <w:p w:rsidR="00616BB1" w:rsidRPr="00036878" w:rsidRDefault="00E75594" w:rsidP="00E75594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2</w:t>
      </w:r>
      <w:r w:rsidR="0076324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-ال</w:t>
      </w:r>
      <w:r w:rsidR="0076324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مدرسة </w:t>
      </w:r>
      <w:r w:rsidR="00616BB1" w:rsidRPr="000368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الجيوسياسية ا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لفرنسية</w:t>
      </w:r>
      <w:r w:rsidR="00616BB1" w:rsidRPr="000368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092"/>
        <w:gridCol w:w="7120"/>
      </w:tblGrid>
      <w:tr w:rsidR="00616BB1" w:rsidRPr="00036878" w:rsidTr="003B5D99">
        <w:tc>
          <w:tcPr>
            <w:tcW w:w="2092" w:type="dxa"/>
          </w:tcPr>
          <w:p w:rsidR="00616BB1" w:rsidRPr="00036878" w:rsidRDefault="00616BB1" w:rsidP="003B5D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6878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النظرية </w:t>
            </w:r>
          </w:p>
        </w:tc>
        <w:tc>
          <w:tcPr>
            <w:tcW w:w="7120" w:type="dxa"/>
          </w:tcPr>
          <w:p w:rsidR="00616BB1" w:rsidRPr="00036878" w:rsidRDefault="00616BB1" w:rsidP="003B5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6878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مضمونها</w:t>
            </w:r>
          </w:p>
        </w:tc>
      </w:tr>
      <w:tr w:rsidR="00616BB1" w:rsidRPr="00036878" w:rsidTr="003B5D99">
        <w:tc>
          <w:tcPr>
            <w:tcW w:w="2092" w:type="dxa"/>
          </w:tcPr>
          <w:p w:rsidR="00616BB1" w:rsidRPr="00036878" w:rsidRDefault="002C7D7C" w:rsidP="003B5D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الإطار العام للجيوسياسية الفرنسة</w:t>
            </w:r>
          </w:p>
        </w:tc>
        <w:tc>
          <w:tcPr>
            <w:tcW w:w="7120" w:type="dxa"/>
          </w:tcPr>
          <w:p w:rsidR="002C7D7C" w:rsidRPr="0050432F" w:rsidRDefault="002C7D7C" w:rsidP="00B96946">
            <w:pPr>
              <w:bidi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المراحل التاريخية 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لتطور المدرسة الجيوسياسية الفرنسية :</w:t>
            </w:r>
          </w:p>
          <w:p w:rsidR="002C7D7C" w:rsidRPr="0050432F" w:rsidRDefault="00B96946" w:rsidP="00B96946">
            <w:pPr>
              <w:numPr>
                <w:ilvl w:val="0"/>
                <w:numId w:val="5"/>
              </w:numPr>
              <w:bidi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B9694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المرحلة الأولى: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تشمل الحدود الزمنية لنهاية القرن ال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تاسع عشر وبداية القرن العشرين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تتميز بظهور الجغرافيا السياسية والجيوسياسية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،خلال هذه الفترة ظهرت أعمال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ريكلس في 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فرنسا والذي يعتبر المؤسس للجغرافيا السياسية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الفر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نسية،كما قدم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فيدال دي لا بلاش 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lastRenderedPageBreak/>
              <w:t xml:space="preserve">أعمالا من خلالها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أصبح 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مؤسس المدرسة الجيوسياسية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بنشاط خلال هذه الفترة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  <w:t>.</w:t>
            </w:r>
          </w:p>
          <w:p w:rsidR="002C7D7C" w:rsidRPr="0050432F" w:rsidRDefault="00B96946" w:rsidP="00B96946">
            <w:pPr>
              <w:numPr>
                <w:ilvl w:val="0"/>
                <w:numId w:val="5"/>
              </w:numPr>
              <w:bidi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B9694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المرحلة الثانية: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أوائل القرن </w:t>
            </w:r>
            <w:r w:rsidR="00056D3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العشرين-</w:t>
            </w:r>
            <w:r w:rsidR="004D765E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منتصف القرن العشرين من خلال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النشاط العلمي </w:t>
            </w:r>
            <w:r w:rsidR="00056D3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أنسل وفيفر،في هذه المرحلة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حدث</w:t>
            </w:r>
            <w:r w:rsidR="00056D3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تناقضات في المناقشات العلمية لفرنسا </w:t>
            </w:r>
            <w:r w:rsidR="00056D3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وألمانيا ا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لتي أثرت بشكل م</w:t>
            </w:r>
            <w:r w:rsidR="00056D3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باشر على تشكيل المدرسة الجيوسياسية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الفرنسية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  <w:t>.</w:t>
            </w:r>
          </w:p>
          <w:p w:rsidR="002C7D7C" w:rsidRPr="0050432F" w:rsidRDefault="00B96946" w:rsidP="00B96946">
            <w:pPr>
              <w:numPr>
                <w:ilvl w:val="0"/>
                <w:numId w:val="5"/>
              </w:numPr>
              <w:bidi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B9694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المرحلة الثالثة: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منتصف القرن العشرين - نهاية القرن العشرين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في هذه المرحلة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تندرج قضية العلاقات ما ب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عد الاستعمارية ضمن اهتمامات لاكوست العلمية،حيث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تتميز هذه الفترة بنشاط ال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سياسة الخارجية للجنرال ديغول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الذي وضع الأساس الرئيسي لمزيد من حرك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ي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ة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فرنسا،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تتوافق الفترة الثالثة لتشكيل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الجيوسياسية الفرنسية مع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مؤسس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مدرسة الجيوسياسية الداخلية إيف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لاكوست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  <w:t>.</w:t>
            </w:r>
          </w:p>
          <w:p w:rsidR="00616BB1" w:rsidRPr="00B96946" w:rsidRDefault="00B96946" w:rsidP="00B96946">
            <w:pPr>
              <w:numPr>
                <w:ilvl w:val="0"/>
                <w:numId w:val="5"/>
              </w:num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B9694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المرحلة الرابعة: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من نهاية القرن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العشرين إلى الوقت الحاضر تهدف الحيوسياسية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الفرنسية إلى الترويج لفكرة إنشاء أوروبا كمركز قوي لعالم متعدد الأقطاب المستقبلي بهدف احتلال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مكانة جديرة فيه، في هذه المرحلة تعد نظرية أتالي،غالوا،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فوشيه، 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إيمانويل </w:t>
            </w:r>
            <w:r w:rsidR="002C7D7C"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تود مهمة ل</w:t>
            </w:r>
            <w:r w:rsidRPr="00B9694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تطور الجيوسياسية.</w:t>
            </w:r>
          </w:p>
        </w:tc>
      </w:tr>
      <w:tr w:rsidR="00616BB1" w:rsidRPr="00B37139" w:rsidTr="003B5D99">
        <w:tc>
          <w:tcPr>
            <w:tcW w:w="2092" w:type="dxa"/>
          </w:tcPr>
          <w:p w:rsidR="00763247" w:rsidRPr="00763247" w:rsidRDefault="005B09EE" w:rsidP="0076324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7632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فيدال </w:t>
            </w:r>
            <w:r w:rsidR="002C7D7C" w:rsidRPr="007632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دو لابلاش</w:t>
            </w:r>
          </w:p>
          <w:p w:rsidR="00763247" w:rsidRDefault="00763247" w:rsidP="00763247">
            <w:pPr>
              <w:bidi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Blache</w:t>
            </w:r>
          </w:p>
          <w:p w:rsidR="00763247" w:rsidRDefault="00763247" w:rsidP="0076324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النظرية الاحتمالية </w:t>
            </w:r>
          </w:p>
          <w:p w:rsidR="004F7362" w:rsidRPr="003B0766" w:rsidRDefault="004F7362" w:rsidP="004F736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lang w:bidi="ar-DZ"/>
              </w:rPr>
              <w:t>Posibilism Theory</w:t>
            </w:r>
          </w:p>
        </w:tc>
        <w:tc>
          <w:tcPr>
            <w:tcW w:w="7120" w:type="dxa"/>
          </w:tcPr>
          <w:p w:rsidR="00170DA6" w:rsidRPr="003B0766" w:rsidRDefault="005B09EE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ارتبط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الفكر الجيوسياسي ل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فيدال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دي لابلاش بمصطلح الاحتمالية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الرغم من أنه لم يستخدم هذا المصطلح في الواقع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،فهو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يعني أن البيئة تحد فقط من عدد الخيارات للشخص وأن البشر وحدهم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هم المسؤولون عن جميع أفعالهم،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لاحتمالية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نظرية مرتبطة بال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جغرافيا تؤكد أن السلوك البشري وبالتالي الثقافة 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يتم تحديده فقط من خلال البيئة ولكن من خلال ال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سلوك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البشري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170DA6" w:rsidRPr="003B0766" w:rsidRDefault="005B09EE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أكد فيدال أن البيئة لا ت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حدد الثقافة تمام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 بل تحد فقط من ع</w:t>
            </w:r>
            <w:r w:rsidR="00144871">
              <w:rPr>
                <w:rFonts w:ascii="Traditional Arabic" w:hAnsi="Traditional Arabic" w:cs="Traditional Arabic"/>
                <w:sz w:val="28"/>
                <w:szCs w:val="28"/>
                <w:rtl/>
              </w:rPr>
              <w:t>دد الخيارات التي يمتلكها</w:t>
            </w:r>
            <w:r w:rsidR="0014487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البشر،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بحلول عام 1950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تم استبدال الحتمية البيئية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بالاحتمالية البيئية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="0014487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أثر البشر في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إحداث تغييرات في البيئة من خلال زيادة قدرتها على تلبية احتياجاته المتزايدة بشكل كبير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،من 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الأمثلة الأكثر 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وضوحا 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الثورة الصناعية والثورة التكنولوجية الزراعية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170DA6" w:rsidRPr="003B0766" w:rsidRDefault="005B09EE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لخص مذهب الاحتمالية لدى فيدال بشكل ملائم معارضته للمدرسة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الألمانية في الجيوسياسية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التي أكدت على درجة معينة من الحتمية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616BB1" w:rsidRPr="003B0766" w:rsidRDefault="005B09EE" w:rsidP="004F11F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أسس فيدال المدرسة الفرنسية للجغرافيا م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ع التركيز على الجيوسياسية،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بالاشتراك مع مارسيل دو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بوا ولوسيان جالوا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أنشأ مجلة</w:t>
            </w:r>
            <w:r w:rsidR="00763247">
              <w:t xml:space="preserve"> Annals of Geography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51C7D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حوليات الجغرافيا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عام 1893</w:t>
            </w:r>
            <w:r w:rsidR="004F11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C1222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 كان رئيس تحريرها</w:t>
            </w:r>
            <w:r w:rsidR="00551C7D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أصبحت أكثر مجلة أكاديمية فرنسية تأثير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 روجت لمفهوم الجغرافيا البشرية على أنها دراسة الإنسان وعلاقته ببيئته</w:t>
            </w:r>
            <w:r w:rsidR="00170DA6" w:rsidRPr="003B076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</w:tr>
      <w:tr w:rsidR="00616BB1" w:rsidRPr="00B37139" w:rsidTr="003B5D99">
        <w:tc>
          <w:tcPr>
            <w:tcW w:w="2092" w:type="dxa"/>
          </w:tcPr>
          <w:p w:rsidR="007A0C65" w:rsidRDefault="003F234F" w:rsidP="007A0C65">
            <w:pPr>
              <w:bidi/>
            </w:pPr>
            <w:r w:rsidRPr="007A0C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إ</w:t>
            </w:r>
            <w:r w:rsidR="007A0C65" w:rsidRPr="007A0C65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يف</w:t>
            </w:r>
            <w:r w:rsidR="007A0C65" w:rsidRPr="007A0C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C7D7C" w:rsidRPr="007A0C65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لاكوست </w:t>
            </w:r>
            <w:r w:rsidR="007A0C65" w:rsidRPr="007A0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Yves</w:t>
            </w:r>
            <w:r w:rsidR="007A0C6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7A0C6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Lacoste</w:t>
            </w:r>
          </w:p>
          <w:p w:rsidR="00616BB1" w:rsidRDefault="00D42A20" w:rsidP="005B09E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نظرية الجيوسياسية الداخلية أو المحلية</w:t>
            </w:r>
          </w:p>
          <w:p w:rsidR="004F7362" w:rsidRPr="005B09EE" w:rsidRDefault="004F7362" w:rsidP="004F736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lang w:bidi="ar-DZ"/>
              </w:rPr>
              <w:t>Local Theory</w:t>
            </w:r>
          </w:p>
        </w:tc>
        <w:tc>
          <w:tcPr>
            <w:tcW w:w="7120" w:type="dxa"/>
          </w:tcPr>
          <w:p w:rsidR="00B96946" w:rsidRPr="005B09EE" w:rsidRDefault="00B96946" w:rsidP="00F4527A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كاتب جيوسياسي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فرنسي أسس المجلة الجيوسياسية الفرنسية هيرودوت</w:t>
            </w:r>
            <w:r w:rsidR="00BD49D7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عام 1976،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اشتهر بأعماله</w:t>
            </w:r>
            <w:r w:rsidR="00763247" w:rsidRPr="005B09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763247">
              <w:t xml:space="preserve">Geography serves first and foremost to wage </w:t>
            </w:r>
            <w:r w:rsidR="0076324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 تستخدم أولا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لصنع الحرب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،التي أكدت أطروحتها المركزية أن 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 كانت شكل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أشكال 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المعرفة الاستراتيجية والسياسية 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ومركزية في الاستراتيجية العسكرية وممارسة السلطة السياسية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70DA6" w:rsidRPr="005B09EE" w:rsidRDefault="00B96946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أث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ناء حرب فيتنام عندما نشر تحليلا هندسيا جنائي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للق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صف الأمريكي في دلتا النهر الاحمر حيث 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اتفق تحليله مع الادعاءات التي قدمت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 الحكومة الفيتنامية الشمالية،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بأ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 الولايات المتحدة استهدفت 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عمدا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البنية التحتية الهيدرولوجية للنهر في محاولة لإحداث فيضانات وإحداث إصابات جماعية بين المدنيين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حث اعتبرها جريمة حرب.</w:t>
            </w:r>
          </w:p>
          <w:p w:rsidR="00170DA6" w:rsidRPr="005B09EE" w:rsidRDefault="00B96946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ن الاهتمام الرئيسي في جغرافيا لاكوست الت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رك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يز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التأكيد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أنه على مر القرون 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وضمن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أي هيئة حاكمة وبنيتها الإدارية،كان ي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نظر إلى الملاحظة الجغرافية والسرد التاريخي على أنهما ضروريان للنظر في الوضع الاستراتيجي 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وإعداد عملية سياسية أو عسكرية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أحد الوظائف الرئيسية للجغرافيا</w:t>
            </w:r>
            <w:r w:rsidR="00170DA6" w:rsidRPr="005B09E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616BB1" w:rsidRPr="005B09EE" w:rsidRDefault="00616BB1" w:rsidP="005B09EE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C8293A" w:rsidRDefault="00C8293A" w:rsidP="00616BB1">
      <w:pPr>
        <w:bidi/>
      </w:pPr>
    </w:p>
    <w:sectPr w:rsidR="00C8293A" w:rsidSect="008D2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D2" w:rsidRDefault="005279D2" w:rsidP="0049053A">
      <w:pPr>
        <w:spacing w:after="0" w:line="240" w:lineRule="auto"/>
      </w:pPr>
      <w:r>
        <w:separator/>
      </w:r>
    </w:p>
  </w:endnote>
  <w:endnote w:type="continuationSeparator" w:id="1">
    <w:p w:rsidR="005279D2" w:rsidRDefault="005279D2" w:rsidP="0049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70" w:rsidRPr="003C5241" w:rsidRDefault="00707F23" w:rsidP="002E6070">
    <w:pPr>
      <w:pStyle w:val="Pieddepage"/>
      <w:rPr>
        <w:b/>
        <w:bCs/>
        <w:u w:val="single"/>
        <w:lang w:bidi="ar-DZ"/>
      </w:rPr>
    </w:pPr>
    <w:r w:rsidRPr="003C5241">
      <w:rPr>
        <w:rFonts w:hint="cs"/>
        <w:b/>
        <w:bCs/>
        <w:u w:val="single"/>
        <w:rtl/>
        <w:lang w:bidi="ar-DZ"/>
      </w:rPr>
      <w:t>السنة الثالثة علاقات دولية.........................................................</w:t>
    </w:r>
    <w:r>
      <w:rPr>
        <w:rFonts w:hint="cs"/>
        <w:b/>
        <w:bCs/>
        <w:u w:val="single"/>
        <w:rtl/>
        <w:lang w:bidi="ar-DZ"/>
      </w:rPr>
      <w:t>...........</w:t>
    </w:r>
    <w:r w:rsidRPr="003C5241">
      <w:rPr>
        <w:rFonts w:hint="cs"/>
        <w:b/>
        <w:bCs/>
        <w:u w:val="single"/>
        <w:rtl/>
        <w:lang w:bidi="ar-DZ"/>
      </w:rPr>
      <w:t>.............السداسي الرابع  2023-2024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D2" w:rsidRDefault="005279D2" w:rsidP="0049053A">
      <w:pPr>
        <w:spacing w:after="0" w:line="240" w:lineRule="auto"/>
      </w:pPr>
      <w:r>
        <w:separator/>
      </w:r>
    </w:p>
  </w:footnote>
  <w:footnote w:type="continuationSeparator" w:id="1">
    <w:p w:rsidR="005279D2" w:rsidRDefault="005279D2" w:rsidP="0049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70" w:rsidRPr="003C5241" w:rsidRDefault="00707F23" w:rsidP="002E6070">
    <w:pPr>
      <w:pStyle w:val="En-tte"/>
      <w:rPr>
        <w:b/>
        <w:bCs/>
        <w:u w:val="single"/>
        <w:rtl/>
        <w:lang w:bidi="ar-DZ"/>
      </w:rPr>
    </w:pPr>
    <w:r w:rsidRPr="003C5241">
      <w:rPr>
        <w:rFonts w:hint="cs"/>
        <w:b/>
        <w:bCs/>
        <w:u w:val="single"/>
        <w:rtl/>
        <w:lang w:bidi="ar-DZ"/>
      </w:rPr>
      <w:t>د.بوريب خديجة ....................................................................................محاضرات جيوسياسية العلاقات الدولية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8CB"/>
    <w:multiLevelType w:val="multilevel"/>
    <w:tmpl w:val="EEF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7DAD"/>
    <w:multiLevelType w:val="multilevel"/>
    <w:tmpl w:val="56B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B43E1"/>
    <w:multiLevelType w:val="multilevel"/>
    <w:tmpl w:val="A14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421B7"/>
    <w:multiLevelType w:val="multilevel"/>
    <w:tmpl w:val="4C9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C289A"/>
    <w:multiLevelType w:val="multilevel"/>
    <w:tmpl w:val="BAEC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BB1"/>
    <w:rsid w:val="00056D3C"/>
    <w:rsid w:val="000F6CB8"/>
    <w:rsid w:val="00144871"/>
    <w:rsid w:val="001646D8"/>
    <w:rsid w:val="00170DA6"/>
    <w:rsid w:val="00176B52"/>
    <w:rsid w:val="001B1FEC"/>
    <w:rsid w:val="00221523"/>
    <w:rsid w:val="00283FD0"/>
    <w:rsid w:val="002C7D7C"/>
    <w:rsid w:val="002D4603"/>
    <w:rsid w:val="00324C1E"/>
    <w:rsid w:val="003B0766"/>
    <w:rsid w:val="003F234F"/>
    <w:rsid w:val="00424854"/>
    <w:rsid w:val="00431D46"/>
    <w:rsid w:val="0049026B"/>
    <w:rsid w:val="0049053A"/>
    <w:rsid w:val="004D765E"/>
    <w:rsid w:val="004F11F9"/>
    <w:rsid w:val="004F7362"/>
    <w:rsid w:val="005279D2"/>
    <w:rsid w:val="00551C7D"/>
    <w:rsid w:val="005B09EE"/>
    <w:rsid w:val="00616BB1"/>
    <w:rsid w:val="0064476F"/>
    <w:rsid w:val="006B39E2"/>
    <w:rsid w:val="007005CC"/>
    <w:rsid w:val="00707F23"/>
    <w:rsid w:val="00763247"/>
    <w:rsid w:val="007875FF"/>
    <w:rsid w:val="007A0C65"/>
    <w:rsid w:val="008A0CB3"/>
    <w:rsid w:val="00910201"/>
    <w:rsid w:val="00A029A7"/>
    <w:rsid w:val="00B32B78"/>
    <w:rsid w:val="00B825A0"/>
    <w:rsid w:val="00B96946"/>
    <w:rsid w:val="00BD49D7"/>
    <w:rsid w:val="00C25488"/>
    <w:rsid w:val="00C33DDC"/>
    <w:rsid w:val="00C8293A"/>
    <w:rsid w:val="00C974E7"/>
    <w:rsid w:val="00CC1850"/>
    <w:rsid w:val="00D22324"/>
    <w:rsid w:val="00D2232F"/>
    <w:rsid w:val="00D42A20"/>
    <w:rsid w:val="00DC16F6"/>
    <w:rsid w:val="00E6497C"/>
    <w:rsid w:val="00E75594"/>
    <w:rsid w:val="00EC1222"/>
    <w:rsid w:val="00F20DA4"/>
    <w:rsid w:val="00F421ED"/>
    <w:rsid w:val="00F4527A"/>
    <w:rsid w:val="00FC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6BB1"/>
  </w:style>
  <w:style w:type="paragraph" w:styleId="Pieddepage">
    <w:name w:val="footer"/>
    <w:basedOn w:val="Normal"/>
    <w:link w:val="PieddepageCar"/>
    <w:uiPriority w:val="99"/>
    <w:semiHidden/>
    <w:unhideWhenUsed/>
    <w:rsid w:val="006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6BB1"/>
  </w:style>
  <w:style w:type="table" w:styleId="Grilledutableau">
    <w:name w:val="Table Grid"/>
    <w:basedOn w:val="TableauNormal"/>
    <w:uiPriority w:val="59"/>
    <w:rsid w:val="00616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6BB1"/>
    <w:rPr>
      <w:b/>
      <w:bCs/>
    </w:rPr>
  </w:style>
  <w:style w:type="paragraph" w:customStyle="1" w:styleId="Heading3">
    <w:name w:val="Heading 3"/>
    <w:basedOn w:val="Normal"/>
    <w:uiPriority w:val="1"/>
    <w:qFormat/>
    <w:rsid w:val="00616BB1"/>
    <w:pPr>
      <w:widowControl w:val="0"/>
      <w:autoSpaceDE w:val="0"/>
      <w:autoSpaceDN w:val="0"/>
      <w:spacing w:before="271" w:after="0" w:line="240" w:lineRule="auto"/>
      <w:ind w:left="626" w:hanging="508"/>
      <w:outlineLvl w:val="3"/>
    </w:pPr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paragraph" w:customStyle="1" w:styleId="Heading2">
    <w:name w:val="Heading 2"/>
    <w:basedOn w:val="Normal"/>
    <w:uiPriority w:val="1"/>
    <w:qFormat/>
    <w:rsid w:val="00616BB1"/>
    <w:pPr>
      <w:widowControl w:val="0"/>
      <w:autoSpaceDE w:val="0"/>
      <w:autoSpaceDN w:val="0"/>
      <w:spacing w:before="87"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42"/>
      <w:szCs w:val="42"/>
      <w:lang w:val="en-US"/>
    </w:rPr>
  </w:style>
  <w:style w:type="character" w:customStyle="1" w:styleId="hwtze">
    <w:name w:val="hwtze"/>
    <w:basedOn w:val="Policepardfaut"/>
    <w:rsid w:val="00616BB1"/>
  </w:style>
  <w:style w:type="character" w:customStyle="1" w:styleId="rynqvb">
    <w:name w:val="rynqvb"/>
    <w:basedOn w:val="Policepardfaut"/>
    <w:rsid w:val="00616BB1"/>
  </w:style>
  <w:style w:type="paragraph" w:styleId="Textedebulles">
    <w:name w:val="Balloon Text"/>
    <w:basedOn w:val="Normal"/>
    <w:link w:val="TextedebullesCar"/>
    <w:uiPriority w:val="99"/>
    <w:semiHidden/>
    <w:unhideWhenUsed/>
    <w:rsid w:val="0022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120</cp:revision>
  <dcterms:created xsi:type="dcterms:W3CDTF">2023-11-18T13:41:00Z</dcterms:created>
  <dcterms:modified xsi:type="dcterms:W3CDTF">2023-11-18T22:56:00Z</dcterms:modified>
</cp:coreProperties>
</file>