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Ind w:w="55" w:type="dxa"/>
        <w:tblLook w:val="04A0" w:firstRow="1" w:lastRow="0" w:firstColumn="1" w:lastColumn="0" w:noHBand="0" w:noVBand="1"/>
      </w:tblPr>
      <w:tblGrid>
        <w:gridCol w:w="7947"/>
        <w:gridCol w:w="1286"/>
      </w:tblGrid>
      <w:tr w:rsidR="006622B1" w:rsidRPr="00AB3413" w:rsidTr="00705EF7">
        <w:tc>
          <w:tcPr>
            <w:tcW w:w="8755" w:type="dxa"/>
            <w:vAlign w:val="center"/>
          </w:tcPr>
          <w:p w:rsidR="0055197D" w:rsidRPr="00AB3413" w:rsidRDefault="0055197D" w:rsidP="00705EF7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B34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الإجابة</w:t>
            </w:r>
            <w:proofErr w:type="gramEnd"/>
            <w:r w:rsidRPr="00AB34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النموذجية</w:t>
            </w:r>
          </w:p>
        </w:tc>
        <w:tc>
          <w:tcPr>
            <w:tcW w:w="1363" w:type="dxa"/>
            <w:vAlign w:val="center"/>
          </w:tcPr>
          <w:p w:rsidR="0055197D" w:rsidRPr="00AB3413" w:rsidRDefault="0055197D" w:rsidP="00705EF7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B34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النقاط</w:t>
            </w:r>
          </w:p>
        </w:tc>
      </w:tr>
      <w:tr w:rsidR="006622B1" w:rsidRPr="00AB3413" w:rsidTr="00493557">
        <w:trPr>
          <w:trHeight w:val="4536"/>
        </w:trPr>
        <w:tc>
          <w:tcPr>
            <w:tcW w:w="8755" w:type="dxa"/>
          </w:tcPr>
          <w:p w:rsidR="0055197D" w:rsidRDefault="00A87B29" w:rsidP="006622B1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السؤال</w:t>
            </w:r>
            <w:proofErr w:type="gramEnd"/>
            <w:r w:rsidR="0055197D" w:rsidRPr="00AB341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الأول:</w:t>
            </w:r>
            <w:r w:rsidR="0055197D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="006622B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8نقاط</w:t>
            </w:r>
          </w:p>
          <w:p w:rsidR="00A87B29" w:rsidRPr="00AB3413" w:rsidRDefault="00A87B29" w:rsidP="00A87B2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أ-اجب  ب  صحيح  أو  خطأ  مع تصحيح  الخطأ  ان وجد:</w:t>
            </w:r>
          </w:p>
          <w:p w:rsidR="007B21C0" w:rsidRDefault="007B21C0" w:rsidP="007B21C0">
            <w:pPr>
              <w:pStyle w:val="Paragraphedeliste"/>
              <w:bidi/>
              <w:ind w:left="55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proofErr w:type="gramStart"/>
            <w:r w:rsidRPr="007B21C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>1</w:t>
            </w:r>
            <w:r w:rsidR="00A87B2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>.</w:t>
            </w:r>
            <w:r w:rsidR="0055197D" w:rsidRPr="007B21C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>من  ب</w:t>
            </w:r>
            <w:proofErr w:type="gramEnd"/>
            <w:r w:rsidR="0055197D" w:rsidRPr="007B21C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>ين  أهم وكالات  التصنيف  الائتماني نجد  البنك  الدولي الذي يقوم  بتقييم المخاطر  المتعلقة  بإصدارات  الدين سواء  للشركات  أو  الحكومات</w:t>
            </w:r>
            <w:r w:rsidRPr="007B21C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>،</w:t>
            </w:r>
          </w:p>
          <w:p w:rsidR="0055197D" w:rsidRPr="007B21C0" w:rsidRDefault="007B21C0" w:rsidP="003266D2">
            <w:pPr>
              <w:pStyle w:val="Paragraphedeliste"/>
              <w:bidi/>
              <w:ind w:left="55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510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bidi="ar-DZ"/>
              </w:rPr>
              <w:t xml:space="preserve">   </w:t>
            </w:r>
            <w:r w:rsidRPr="0037510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val="en-US" w:bidi="ar-DZ"/>
              </w:rPr>
              <w:t>خطأ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</w:t>
            </w:r>
            <w:r w:rsidR="0037510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أهمها شركة 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MOODY’S ST</w:t>
            </w:r>
            <w:r w:rsidR="003266D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NDARD AND  POOR</w:t>
            </w:r>
            <w:r w:rsidR="003266D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’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S  </w:t>
            </w:r>
            <w:r w:rsidR="003266D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FITCH</w:t>
            </w:r>
          </w:p>
          <w:p w:rsidR="007B21C0" w:rsidRDefault="007B21C0" w:rsidP="007B21C0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2</w:t>
            </w:r>
            <w:r w:rsidR="0055197D" w:rsidRPr="00AB341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. </w:t>
            </w:r>
            <w:r w:rsidRPr="007B21C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>تقوم  وكالات  التصنيف الائتماني   بإصدار ثلاثة  انواع من درجات  التصنيف الائتماني</w:t>
            </w:r>
            <w:r w:rsidRPr="007B21C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B21C0" w:rsidRDefault="007B21C0" w:rsidP="007B21C0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</w:pPr>
            <w:proofErr w:type="spellStart"/>
            <w:r w:rsidRPr="0037510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val="en-US" w:bidi="ar-DZ"/>
              </w:rPr>
              <w:t>خطأ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،يوجد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نوعين  من  درجات  التصنيف  الائتماني :درجة  المضاربة ودرجة  الاستثمار</w:t>
            </w:r>
            <w:r w:rsidR="00F40297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    </w:t>
            </w:r>
          </w:p>
          <w:p w:rsidR="007B21C0" w:rsidRPr="00F40297" w:rsidRDefault="007B21C0" w:rsidP="00C961F2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 درجة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</w:t>
            </w:r>
            <w:r w:rsidR="00C961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استثمار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:</w:t>
            </w:r>
            <w:r w:rsidR="00F4029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مؤشر</w:t>
            </w:r>
            <w:proofErr w:type="spellEnd"/>
            <w:r w:rsidR="00F4029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 لانخفاض درجة  المخاطر  الائتمانية وتأخذ  رموز:</w:t>
            </w:r>
            <w:r w:rsidR="00F40297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 </w:t>
            </w:r>
            <w:r w:rsidR="00F4029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 w:rsidR="00F4029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Baa</w:t>
            </w:r>
            <w:proofErr w:type="spellEnd"/>
            <w:r w:rsidR="00F4029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-A-Aa-</w:t>
            </w:r>
            <w:proofErr w:type="spellStart"/>
            <w:r w:rsidR="00F4029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Aaa</w:t>
            </w:r>
            <w:proofErr w:type="spellEnd"/>
            <w:r w:rsidR="00F4029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بالنسبة  لوكالة  </w:t>
            </w:r>
            <w:proofErr w:type="spellStart"/>
            <w:r w:rsidR="00F4029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موديز</w:t>
            </w:r>
            <w:proofErr w:type="spellEnd"/>
            <w:r w:rsidR="00F4029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،ورموز  </w:t>
            </w:r>
            <w:r w:rsidR="00F40297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BBB-A-AAA-AA</w:t>
            </w:r>
            <w:r w:rsidR="00F4029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بالنسبة  لوكالتي </w:t>
            </w:r>
            <w:proofErr w:type="spellStart"/>
            <w:r w:rsidR="00F4029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ستاندر</w:t>
            </w:r>
            <w:proofErr w:type="spellEnd"/>
            <w:r w:rsidR="00F4029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اند  بورز و  فيتش</w:t>
            </w:r>
            <w:r w:rsidR="0049355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؛</w:t>
            </w:r>
          </w:p>
          <w:p w:rsidR="007B21C0" w:rsidRDefault="007B21C0" w:rsidP="00C961F2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درجة  </w:t>
            </w:r>
            <w:r w:rsidR="00C961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المضاربة</w:t>
            </w:r>
            <w:proofErr w:type="gramEnd"/>
            <w:r w:rsidR="00C961F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 xml:space="preserve"> :</w:t>
            </w:r>
            <w:r w:rsidR="00AE754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مؤشر  لارتفاع  درجة  المخاطر  الائتمانية  ويأخذ  الرموز:</w:t>
            </w:r>
            <w:r w:rsidR="00AE754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</w:t>
            </w:r>
            <w:r w:rsidR="001E7AA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-Ca-</w:t>
            </w:r>
            <w:proofErr w:type="spellStart"/>
            <w:r w:rsidR="001E7AA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caa</w:t>
            </w:r>
            <w:proofErr w:type="spellEnd"/>
            <w:r w:rsidR="001E7AA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-B-Ba</w:t>
            </w:r>
            <w:r w:rsidR="00AE754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</w:t>
            </w:r>
          </w:p>
          <w:p w:rsidR="00C961F2" w:rsidRPr="00C356E6" w:rsidRDefault="00C961F2" w:rsidP="00C356E6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بالنسبة  وكالة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موديز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،و  الرموز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C-CC-CCC-B-BB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بالنسبة  لوكالتي  </w:t>
            </w:r>
            <w:proofErr w:type="spellStart"/>
            <w:r w:rsidR="00C356E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ستاندر</w:t>
            </w:r>
            <w:proofErr w:type="spellEnd"/>
            <w:r w:rsidR="00C356E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اند  بورز و  فيتش</w:t>
            </w:r>
          </w:p>
          <w:p w:rsidR="0055197D" w:rsidRPr="00375101" w:rsidRDefault="0055197D" w:rsidP="00A87B29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7510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  <w:t>3.</w:t>
            </w:r>
            <w:proofErr w:type="gramEnd"/>
            <w:r w:rsidR="00375101" w:rsidRPr="0037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proofErr w:type="gramStart"/>
            <w:r w:rsidR="00375101" w:rsidRPr="0037510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>تتعدد  التصنيفات</w:t>
            </w:r>
            <w:proofErr w:type="gramEnd"/>
            <w:r w:rsidR="00375101" w:rsidRPr="0037510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 xml:space="preserve"> الدولية  وتتباين ليس فقط  من  حيث  طبيعة  أهدافها  والظروف  التي  صاحبت  نشأتها</w:t>
            </w:r>
            <w:r w:rsidR="00375101" w:rsidRPr="0037510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A87B2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،</w:t>
            </w:r>
            <w:r w:rsidRPr="003751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55197D" w:rsidRPr="006622B1" w:rsidRDefault="00375101" w:rsidP="00512C6C">
            <w:pPr>
              <w:pStyle w:val="Paragraphedeliste"/>
              <w:numPr>
                <w:ilvl w:val="0"/>
                <w:numId w:val="1"/>
              </w:numPr>
              <w:bidi/>
              <w:ind w:left="284" w:hanging="219"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صحيح</w:t>
            </w:r>
            <w:r w:rsidRPr="006622B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،</w:t>
            </w:r>
            <w:r w:rsidR="00A87B29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تختلف</w:t>
            </w:r>
            <w:proofErr w:type="spellEnd"/>
            <w:r w:rsidR="00A87B29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حتى  في  طبيعة  و نوعية المعايير  المستخدمة في  كل  </w:t>
            </w:r>
            <w:proofErr w:type="spellStart"/>
            <w:r w:rsidR="00A87B29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منها،فكل</w:t>
            </w:r>
            <w:proofErr w:type="spellEnd"/>
            <w:r w:rsidR="00A87B29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صنف يعتمد  على  جملة  من المؤشرات  و  المعايير الخاصة  </w:t>
            </w:r>
            <w:proofErr w:type="spellStart"/>
            <w:r w:rsidR="00A87B29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به،كما</w:t>
            </w:r>
            <w:proofErr w:type="spellEnd"/>
            <w:r w:rsidR="00A87B29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يتمتع  كل  مؤشر  بون  نسبي او  حصة  مئوية  تعادل في  مجموعها  الكلي 100</w:t>
            </w:r>
            <w:r w:rsidR="00A87B29" w:rsidRPr="006622B1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%</w:t>
            </w:r>
            <w:r w:rsidR="00A87B29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،يتم  الترتيب استنادا  عليها</w:t>
            </w:r>
            <w:r w:rsidR="00A87B29" w:rsidRPr="006622B1">
              <w:rPr>
                <w:rFonts w:asciiTheme="majorBidi" w:hAnsiTheme="majorBidi" w:cstheme="majorBidi" w:hint="cs"/>
                <w:rtl/>
                <w:lang w:bidi="ar-DZ"/>
              </w:rPr>
              <w:t>.</w:t>
            </w:r>
          </w:p>
          <w:p w:rsidR="00A87B29" w:rsidRPr="00512C6C" w:rsidRDefault="00A87B29" w:rsidP="00705EF7">
            <w:pPr>
              <w:pStyle w:val="Paragraphedeliste"/>
              <w:bidi/>
              <w:ind w:left="55"/>
              <w:jc w:val="both"/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ب-اشرح  كل</w:t>
            </w:r>
            <w:proofErr w:type="gramEnd"/>
            <w:r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من :</w:t>
            </w:r>
          </w:p>
          <w:p w:rsidR="0055197D" w:rsidRPr="00A2010A" w:rsidRDefault="00A87B29" w:rsidP="00493557">
            <w:pPr>
              <w:pStyle w:val="Paragraphedeliste"/>
              <w:bidi/>
              <w:ind w:left="55"/>
              <w:jc w:val="both"/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bidi="ar-DZ"/>
              </w:rPr>
            </w:pPr>
            <w:proofErr w:type="gramStart"/>
            <w:r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</w:t>
            </w:r>
            <w:r w:rsidR="0055197D"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.</w:t>
            </w:r>
            <w:proofErr w:type="gramEnd"/>
            <w:r w:rsidR="0055197D"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مؤشر  الحرية  </w:t>
            </w:r>
            <w:proofErr w:type="spellStart"/>
            <w:r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الاقتصادية:</w:t>
            </w:r>
            <w:r w:rsidR="00A2010A" w:rsidRPr="006622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>صادر</w:t>
            </w:r>
            <w:proofErr w:type="spellEnd"/>
            <w:r w:rsidR="00A2010A" w:rsidRPr="006622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من  قبل مؤسسة  </w:t>
            </w:r>
            <w:r w:rsidR="00A2010A" w:rsidRPr="006622B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  <w:t xml:space="preserve">HERITAGE  FOUNDATION  </w:t>
            </w:r>
            <w:r w:rsidR="00A2010A" w:rsidRPr="006622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>بالتعا</w:t>
            </w:r>
            <w:r w:rsidR="0049355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>ون</w:t>
            </w:r>
            <w:r w:rsidR="00A2010A" w:rsidRPr="006622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 مع  جريدة  </w:t>
            </w:r>
            <w:r w:rsidR="00A2010A" w:rsidRPr="006622B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  <w:t xml:space="preserve">WALL  STREET JOURNAL  </w:t>
            </w:r>
            <w:r w:rsidR="00A2010A" w:rsidRPr="006622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،يستخدم  لقياس مدى  </w:t>
            </w:r>
            <w:r w:rsidR="00493557" w:rsidRPr="006622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>تأثير</w:t>
            </w:r>
            <w:r w:rsidR="00A2010A" w:rsidRPr="006622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 تدخل  الدولة في  الانشطة  الاقتصادية    السياسية ،أداء  الاعمال    العلاقات الخارجية ،يعتمد  على  10ع</w:t>
            </w:r>
            <w:r w:rsidR="0049355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>و</w:t>
            </w:r>
            <w:bookmarkStart w:id="0" w:name="_GoBack"/>
            <w:bookmarkEnd w:id="0"/>
            <w:r w:rsidR="00A2010A" w:rsidRPr="006622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امل  رئيسية  منها  :السياسة  التجارية  ،نظم  الادارة  </w:t>
            </w:r>
            <w:proofErr w:type="spellStart"/>
            <w:r w:rsidR="00A2010A" w:rsidRPr="006622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>المالية،حجم</w:t>
            </w:r>
            <w:proofErr w:type="spellEnd"/>
            <w:r w:rsidR="00A2010A" w:rsidRPr="006622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 الاستثمار  الخاص ،اداء القطاع  المصرفي    التمويلي</w:t>
            </w:r>
            <w:r w:rsidR="006622B1" w:rsidRPr="006622B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  <w:t>.</w:t>
            </w:r>
          </w:p>
          <w:p w:rsidR="0055197D" w:rsidRPr="00512C6C" w:rsidRDefault="00A87B29" w:rsidP="00512C6C">
            <w:pPr>
              <w:pStyle w:val="Paragraphedeliste"/>
              <w:bidi/>
              <w:ind w:left="55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</w:t>
            </w:r>
            <w:r w:rsidR="0055197D"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.</w:t>
            </w:r>
            <w:r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مؤشر  </w:t>
            </w:r>
            <w:proofErr w:type="spellStart"/>
            <w:r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الفساد:</w:t>
            </w:r>
            <w:r w:rsidR="00512C6C" w:rsidRPr="006622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>مؤشر</w:t>
            </w:r>
            <w:proofErr w:type="spellEnd"/>
            <w:r w:rsidR="00512C6C" w:rsidRPr="006622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 يصدر  سنويا  عن  منظمة  الشفافية  الدولية  ،يقيس درجة الشفافية  من  خلال  قياس  مدى  تفشي  الفساد  بين  موظفي  القطاع  العام   رجال  السياسة  ،اضافة  الى مدى  كفاءة  السياسات    الاجراءات  الكفيلة  بمكافحة  الفساد</w:t>
            </w:r>
            <w:r w:rsidR="00512C6C" w:rsidRPr="00512C6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  <w:p w:rsidR="006622B1" w:rsidRDefault="00A87B29" w:rsidP="00A87B29">
            <w:pPr>
              <w:jc w:val="both"/>
              <w:rPr>
                <w:rFonts w:asciiTheme="majorBidi" w:eastAsia="Times New Roman" w:hAnsiTheme="majorBidi" w:cstheme="majorBidi" w:hint="cs"/>
                <w:b/>
                <w:bCs/>
                <w:color w:val="FF0000"/>
                <w:szCs w:val="24"/>
                <w:rtl/>
                <w:lang w:eastAsia="fr-FR" w:bidi="ar-DZ"/>
              </w:rPr>
            </w:pPr>
            <w:proofErr w:type="gramStart"/>
            <w:r w:rsidRPr="006622B1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u w:val="single"/>
                <w:rtl/>
                <w:lang w:bidi="ar-DZ"/>
              </w:rPr>
              <w:t>السؤال  الثاني</w:t>
            </w:r>
            <w:proofErr w:type="gramEnd"/>
            <w:r w:rsidRPr="006622B1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u w:val="single"/>
                <w:rtl/>
                <w:lang w:bidi="ar-DZ"/>
              </w:rPr>
              <w:t>:</w:t>
            </w:r>
            <w:r w:rsidRPr="006622B1">
              <w:rPr>
                <w:rFonts w:ascii="Andalus" w:eastAsia="Times New Roman" w:hAnsi="Andalus" w:cs="Andalus"/>
                <w:color w:val="000000" w:themeColor="text1"/>
                <w:sz w:val="28"/>
                <w:rtl/>
                <w:lang w:eastAsia="fr-FR" w:bidi="ar-DZ"/>
              </w:rPr>
              <w:t xml:space="preserve"> </w:t>
            </w:r>
            <w:r w:rsidR="006622B1" w:rsidRPr="006622B1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rtl/>
                <w:lang w:eastAsia="fr-FR" w:bidi="ar-DZ"/>
              </w:rPr>
              <w:t>4ن</w:t>
            </w:r>
            <w:r w:rsidR="006622B1" w:rsidRPr="006622B1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rtl/>
                <w:lang w:eastAsia="fr-FR" w:bidi="ar-DZ"/>
              </w:rPr>
              <w:t>قاط</w:t>
            </w:r>
          </w:p>
          <w:p w:rsidR="0055197D" w:rsidRPr="00512C6C" w:rsidRDefault="00F40297" w:rsidP="006622B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u w:val="single"/>
                <w:rtl/>
                <w:lang w:bidi="ar-DZ"/>
              </w:rPr>
            </w:pPr>
            <w:r w:rsidRPr="00512C6C">
              <w:rPr>
                <w:rFonts w:asciiTheme="majorBidi" w:hAnsiTheme="majorBidi" w:cstheme="majorBidi"/>
                <w:b/>
                <w:bCs/>
                <w:color w:val="FF0000"/>
                <w:sz w:val="28"/>
                <w:rtl/>
                <w:lang w:bidi="ar-DZ"/>
              </w:rPr>
              <w:t>تقدم   الوكالة  الدولية نوعين  من  التصنيفات  ،قدم  شرح  مختصر  لكل  منهما مع  ابراز  الفرق  بينهما</w:t>
            </w:r>
            <w:r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rtl/>
                <w:lang w:bidi="ar-DZ"/>
              </w:rPr>
              <w:t xml:space="preserve"> </w:t>
            </w:r>
            <w:r w:rsidR="0055197D" w:rsidRPr="00512C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rtl/>
                <w:lang w:bidi="ar-DZ"/>
              </w:rPr>
              <w:t>؟</w:t>
            </w:r>
          </w:p>
          <w:p w:rsidR="0055197D" w:rsidRPr="006622B1" w:rsidRDefault="00A87B29" w:rsidP="00A2010A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*</w:t>
            </w:r>
            <w:r w:rsidR="0055197D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="00362951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التصنيف  الائتماني :ويقصد  به</w:t>
            </w:r>
            <w:r w:rsidR="00A2010A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مدى القوة  و  الملاءة المالية  للمؤسسة  المالية  ومنتجاتها ،ويتم  الاعتماد  في  هذا  الصدد على  عدة  </w:t>
            </w:r>
            <w:proofErr w:type="spellStart"/>
            <w:r w:rsidR="00A2010A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معاييرمنها</w:t>
            </w:r>
            <w:proofErr w:type="spellEnd"/>
            <w:r w:rsidR="00A2010A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جودة  الادارة </w:t>
            </w:r>
            <w:r w:rsidR="0055197D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؛</w:t>
            </w:r>
          </w:p>
          <w:p w:rsidR="0055197D" w:rsidRPr="006622B1" w:rsidRDefault="00A87B29" w:rsidP="00512C6C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*</w:t>
            </w:r>
            <w:r w:rsidR="00362951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التصنيف  </w:t>
            </w:r>
            <w:proofErr w:type="spellStart"/>
            <w:r w:rsidR="00362951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الشرعي:</w:t>
            </w:r>
            <w:r w:rsidR="00A2010A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يوضح</w:t>
            </w:r>
            <w:proofErr w:type="spellEnd"/>
            <w:r w:rsidR="00A2010A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مدى  موافقة  المؤسسة  المالية  الاسلامية ومنتجاتها  للمتطلبات  الشرعية  والتزاماتها بتوجهات  هيئتها  الشرعية  </w:t>
            </w:r>
            <w:r w:rsidR="0055197D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؛</w:t>
            </w:r>
          </w:p>
          <w:p w:rsidR="0055197D" w:rsidRPr="006622B1" w:rsidRDefault="00A87B29" w:rsidP="006622B1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*</w:t>
            </w:r>
            <w:r w:rsidR="00362951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الفرق </w:t>
            </w:r>
            <w:proofErr w:type="spellStart"/>
            <w:r w:rsidR="00362951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بينهما:التصنيف</w:t>
            </w:r>
            <w:proofErr w:type="spellEnd"/>
            <w:r w:rsidR="00362951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الائتماني  يمنح للمؤسسة  درجة بالنظر  الى  جودة الاصول  </w:t>
            </w:r>
            <w:proofErr w:type="spellStart"/>
            <w:r w:rsidR="00362951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التى</w:t>
            </w:r>
            <w:proofErr w:type="spellEnd"/>
            <w:r w:rsidR="00362951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تمتلكها سواء من  حيث قوة  الضمانات </w:t>
            </w:r>
            <w:proofErr w:type="spellStart"/>
            <w:r w:rsidR="00362951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التى</w:t>
            </w:r>
            <w:proofErr w:type="spellEnd"/>
            <w:r w:rsidR="00362951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تستند  اليها ،ومدى القدرة  على  تسييلها وذلك من  خلال  درجات ،في  حين التصنيف  الشرعي هو  ايضا  على  درجات ،لكنها  </w:t>
            </w:r>
            <w:proofErr w:type="spellStart"/>
            <w:r w:rsidR="00362951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لاتعكس</w:t>
            </w:r>
            <w:proofErr w:type="spellEnd"/>
            <w:r w:rsidR="00362951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  <w:r w:rsidR="00F40297" w:rsidRPr="006622B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معايير ائتمانية  ،وانما  شرعية</w:t>
            </w:r>
          </w:p>
          <w:p w:rsidR="006622B1" w:rsidRDefault="00512C6C" w:rsidP="006622B1">
            <w:pPr>
              <w:tabs>
                <w:tab w:val="right" w:pos="0"/>
                <w:tab w:val="right" w:pos="284"/>
              </w:tabs>
              <w:jc w:val="both"/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rtl/>
                <w:lang w:bidi="ar-DZ"/>
              </w:rPr>
            </w:pPr>
            <w:proofErr w:type="gramStart"/>
            <w:r w:rsidRPr="006622B1">
              <w:rPr>
                <w:rFonts w:asciiTheme="majorBidi" w:hAnsiTheme="majorBidi" w:cstheme="majorBidi" w:hint="cs"/>
                <w:b/>
                <w:bCs/>
                <w:sz w:val="28"/>
                <w:u w:val="single"/>
                <w:rtl/>
                <w:lang w:bidi="ar-DZ"/>
              </w:rPr>
              <w:t>السؤال  الثالث</w:t>
            </w:r>
            <w:proofErr w:type="gramEnd"/>
            <w:r w:rsidRPr="006622B1">
              <w:rPr>
                <w:rFonts w:asciiTheme="majorBidi" w:hAnsiTheme="majorBidi" w:cstheme="majorBidi" w:hint="cs"/>
                <w:b/>
                <w:bCs/>
                <w:sz w:val="28"/>
                <w:u w:val="single"/>
                <w:rtl/>
                <w:lang w:bidi="ar-DZ"/>
              </w:rPr>
              <w:t>:</w:t>
            </w:r>
            <w:r w:rsidRPr="006622B1">
              <w:rPr>
                <w:rFonts w:asciiTheme="majorBidi" w:hAnsiTheme="majorBidi" w:cstheme="majorBidi"/>
                <w:b/>
                <w:bCs/>
                <w:color w:val="FF0000"/>
                <w:sz w:val="28"/>
                <w:rtl/>
                <w:lang w:bidi="ar-DZ"/>
              </w:rPr>
              <w:t xml:space="preserve"> </w:t>
            </w:r>
            <w:r w:rsidR="006622B1" w:rsidRPr="006622B1">
              <w:rPr>
                <w:rFonts w:asciiTheme="majorBidi" w:hAnsiTheme="majorBidi" w:cstheme="majorBidi"/>
                <w:b/>
                <w:bCs/>
                <w:color w:val="FF0000"/>
                <w:sz w:val="28"/>
                <w:rtl/>
                <w:lang w:bidi="ar-DZ"/>
              </w:rPr>
              <w:t>8نقاط</w:t>
            </w:r>
          </w:p>
          <w:p w:rsidR="0055197D" w:rsidRPr="00512C6C" w:rsidRDefault="00512C6C" w:rsidP="006622B1">
            <w:pPr>
              <w:tabs>
                <w:tab w:val="right" w:pos="0"/>
                <w:tab w:val="right" w:pos="284"/>
              </w:tabs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lang w:bidi="ar-DZ"/>
              </w:rPr>
            </w:pPr>
            <w:r w:rsidRPr="00512C6C">
              <w:rPr>
                <w:rFonts w:asciiTheme="majorBidi" w:hAnsiTheme="majorBidi" w:cstheme="majorBidi"/>
                <w:b/>
                <w:bCs/>
                <w:color w:val="FF0000"/>
                <w:sz w:val="28"/>
                <w:rtl/>
                <w:lang w:bidi="ar-DZ"/>
              </w:rPr>
              <w:t xml:space="preserve">تعد  الوكالة  الدولية  الاسلامية للتصنيف  أول مؤسسات  التصنيف الاسلامية التي  تم  اشاؤها  في  السنوات  الاخيرة ،هل يمكن اعتبارها كبديل  شرعي  لوكالات  التصنيف  </w:t>
            </w:r>
            <w:r w:rsidRPr="00512C6C">
              <w:rPr>
                <w:rFonts w:asciiTheme="majorBidi" w:hAnsiTheme="majorBidi" w:cstheme="majorBidi"/>
                <w:b/>
                <w:bCs/>
                <w:color w:val="FF0000"/>
                <w:sz w:val="28"/>
                <w:rtl/>
                <w:lang w:bidi="ar-DZ"/>
              </w:rPr>
              <w:lastRenderedPageBreak/>
              <w:t>الائتماني الدولية</w:t>
            </w:r>
            <w:r w:rsidRPr="00512C6C">
              <w:rPr>
                <w:rFonts w:ascii="Andalus" w:hAnsi="Andalus" w:cs="Andalus" w:hint="cs"/>
                <w:color w:val="FF0000"/>
                <w:sz w:val="28"/>
                <w:rtl/>
                <w:lang w:bidi="ar-DZ"/>
              </w:rPr>
              <w:t xml:space="preserve"> </w:t>
            </w:r>
          </w:p>
          <w:p w:rsidR="0055197D" w:rsidRPr="006622B1" w:rsidRDefault="00493557" w:rsidP="00705EF7">
            <w:pPr>
              <w:jc w:val="both"/>
              <w:rPr>
                <w:rFonts w:asciiTheme="majorBidi" w:hAnsiTheme="majorBidi" w:cstheme="majorBidi" w:hint="cs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 xml:space="preserve">الاجابة  مفتوحة  من  خلال  </w:t>
            </w:r>
            <w:r w:rsidR="00A2010A"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تناول  النقاط  التالية:</w:t>
            </w:r>
          </w:p>
          <w:p w:rsidR="00A2010A" w:rsidRPr="006622B1" w:rsidRDefault="00A2010A" w:rsidP="00705EF7">
            <w:pPr>
              <w:jc w:val="both"/>
              <w:rPr>
                <w:rFonts w:asciiTheme="majorBidi" w:hAnsiTheme="majorBidi" w:cstheme="majorBidi" w:hint="cs"/>
                <w:szCs w:val="24"/>
                <w:rtl/>
                <w:lang w:bidi="ar-DZ"/>
              </w:rPr>
            </w:pPr>
            <w:r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-مقدمة</w:t>
            </w:r>
          </w:p>
          <w:p w:rsidR="00A2010A" w:rsidRPr="006622B1" w:rsidRDefault="00A2010A" w:rsidP="006622B1">
            <w:pPr>
              <w:jc w:val="both"/>
              <w:rPr>
                <w:rFonts w:asciiTheme="majorBidi" w:hAnsiTheme="majorBidi" w:cstheme="majorBidi" w:hint="cs"/>
                <w:szCs w:val="24"/>
                <w:rtl/>
                <w:lang w:bidi="ar-DZ"/>
              </w:rPr>
            </w:pPr>
            <w:r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-العرض :يتناول:-</w:t>
            </w:r>
            <w:proofErr w:type="spellStart"/>
            <w:r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نشاة</w:t>
            </w:r>
            <w:proofErr w:type="spellEnd"/>
            <w:r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 xml:space="preserve">  الوكالة  الدولية  الاسلامية  للتصنيف</w:t>
            </w:r>
            <w:r w:rsidR="003266D2"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 xml:space="preserve"> ومبررات  اعتمادها</w:t>
            </w:r>
            <w:r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 xml:space="preserve"> </w:t>
            </w:r>
            <w:r w:rsidRPr="006622B1">
              <w:rPr>
                <w:rFonts w:asciiTheme="majorBidi" w:hAnsiTheme="majorBidi" w:cstheme="majorBidi"/>
                <w:szCs w:val="24"/>
                <w:rtl/>
                <w:lang w:bidi="ar-DZ"/>
              </w:rPr>
              <w:t>–</w:t>
            </w:r>
            <w:r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انواع  التصنيفات الائتمانية  الممنوحة  من  قبلها-</w:t>
            </w:r>
            <w:r w:rsidR="004A3356"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 xml:space="preserve">اليات  عمل  الوكالة-الاختلاف  </w:t>
            </w:r>
            <w:proofErr w:type="spellStart"/>
            <w:r w:rsidR="004A3356"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مابين</w:t>
            </w:r>
            <w:proofErr w:type="spellEnd"/>
            <w:r w:rsidR="004A3356"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 xml:space="preserve">  الكالة  الد</w:t>
            </w:r>
            <w:r w:rsidR="006622B1"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و</w:t>
            </w:r>
            <w:r w:rsidR="004A3356"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لية  للتصنيف  الاسلامي ومؤسسات  التصنيف  الائتمانية  الاخرى-تحديات  الوكالة  الدولية</w:t>
            </w:r>
            <w:r w:rsidR="00493557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 xml:space="preserve"> </w:t>
            </w:r>
            <w:r w:rsidR="006622B1"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من  حيث</w:t>
            </w:r>
            <w:r w:rsidR="004A3356"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 xml:space="preserve"> الاعتماد  عليها كبديل  للمؤسسات  الائتمانية  التقليدية. </w:t>
            </w:r>
          </w:p>
          <w:p w:rsidR="004A3356" w:rsidRPr="006622B1" w:rsidRDefault="004A3356" w:rsidP="00A2010A">
            <w:pPr>
              <w:jc w:val="both"/>
              <w:rPr>
                <w:rFonts w:asciiTheme="majorBidi" w:hAnsiTheme="majorBidi" w:cstheme="majorBidi" w:hint="cs"/>
                <w:szCs w:val="24"/>
                <w:rtl/>
                <w:lang w:bidi="ar-DZ"/>
              </w:rPr>
            </w:pPr>
            <w:r w:rsidRPr="006622B1">
              <w:rPr>
                <w:rFonts w:asciiTheme="majorBidi" w:hAnsiTheme="majorBidi" w:cstheme="majorBidi" w:hint="cs"/>
                <w:szCs w:val="24"/>
                <w:rtl/>
                <w:lang w:bidi="ar-DZ"/>
              </w:rPr>
              <w:t>-خاتمة</w:t>
            </w:r>
          </w:p>
          <w:p w:rsidR="0055197D" w:rsidRPr="006622B1" w:rsidRDefault="0055197D" w:rsidP="00705EF7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lang w:bidi="ar-DZ"/>
              </w:rPr>
            </w:pPr>
            <w:proofErr w:type="gramStart"/>
            <w:r w:rsidRPr="006622B1">
              <w:rPr>
                <w:rFonts w:asciiTheme="majorBidi" w:hAnsiTheme="majorBidi" w:cstheme="majorBidi" w:hint="cs"/>
                <w:b/>
                <w:bCs/>
                <w:szCs w:val="24"/>
                <w:rtl/>
                <w:lang w:bidi="ar-DZ"/>
              </w:rPr>
              <w:t>بالتوفيق</w:t>
            </w:r>
            <w:proofErr w:type="gramEnd"/>
            <w:r w:rsidRPr="006622B1">
              <w:rPr>
                <w:rFonts w:asciiTheme="majorBidi" w:hAnsiTheme="majorBidi" w:cstheme="majorBidi" w:hint="cs"/>
                <w:b/>
                <w:bCs/>
                <w:szCs w:val="24"/>
                <w:rtl/>
                <w:lang w:bidi="ar-DZ"/>
              </w:rPr>
              <w:t xml:space="preserve"> للجميع</w:t>
            </w:r>
          </w:p>
          <w:p w:rsidR="0055197D" w:rsidRPr="00AB3413" w:rsidRDefault="0055197D" w:rsidP="004A335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rtl/>
                <w:lang w:bidi="ar-DZ"/>
              </w:rPr>
            </w:pPr>
          </w:p>
        </w:tc>
        <w:tc>
          <w:tcPr>
            <w:tcW w:w="1363" w:type="dxa"/>
          </w:tcPr>
          <w:p w:rsidR="0055197D" w:rsidRDefault="0055197D" w:rsidP="00705EF7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5197D" w:rsidRDefault="0055197D" w:rsidP="00705EF7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622B1" w:rsidRPr="00646E3E" w:rsidRDefault="006622B1" w:rsidP="006622B1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  <w:r>
              <w:rPr>
                <w:b/>
                <w:bCs/>
                <w:color w:val="FF0000"/>
                <w:lang w:val="fr-FR" w:bidi="ar-DZ"/>
              </w:rPr>
              <w:t>1</w:t>
            </w:r>
            <w:r w:rsidRPr="00646E3E">
              <w:rPr>
                <w:rFonts w:hint="cs"/>
                <w:b/>
                <w:bCs/>
                <w:color w:val="FF0000"/>
                <w:rtl/>
                <w:lang w:val="fr-FR" w:bidi="ar-DZ"/>
              </w:rPr>
              <w:t>ن</w:t>
            </w:r>
          </w:p>
          <w:p w:rsidR="0055197D" w:rsidRPr="00646E3E" w:rsidRDefault="0055197D" w:rsidP="00705EF7">
            <w:pPr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  <w:r w:rsidRPr="00646E3E">
              <w:rPr>
                <w:rFonts w:hint="cs"/>
                <w:b/>
                <w:bCs/>
                <w:color w:val="FF0000"/>
                <w:rtl/>
                <w:lang w:val="fr-FR" w:bidi="ar-DZ"/>
              </w:rPr>
              <w:t>2ن</w:t>
            </w: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375101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val="fr-FR" w:bidi="ar-DZ"/>
              </w:rPr>
              <w:t>2ن</w:t>
            </w: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6622B1" w:rsidP="006622B1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  <w:r>
              <w:rPr>
                <w:b/>
                <w:bCs/>
                <w:color w:val="FF0000"/>
                <w:lang w:val="fr-FR" w:bidi="ar-DZ"/>
              </w:rPr>
              <w:t>1</w:t>
            </w:r>
            <w:r w:rsidR="0055197D" w:rsidRPr="00646E3E">
              <w:rPr>
                <w:rFonts w:hint="cs"/>
                <w:b/>
                <w:bCs/>
                <w:color w:val="FF0000"/>
                <w:rtl/>
                <w:lang w:val="fr-FR" w:bidi="ar-DZ"/>
              </w:rPr>
              <w:t>ن</w:t>
            </w: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  <w:r w:rsidRPr="00646E3E">
              <w:rPr>
                <w:rFonts w:hint="cs"/>
                <w:b/>
                <w:bCs/>
                <w:color w:val="FF0000"/>
                <w:rtl/>
                <w:lang w:val="fr-FR" w:bidi="ar-DZ"/>
              </w:rPr>
              <w:t>1ن</w:t>
            </w: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  <w:r w:rsidRPr="00646E3E">
              <w:rPr>
                <w:rFonts w:hint="cs"/>
                <w:b/>
                <w:bCs/>
                <w:color w:val="FF0000"/>
                <w:rtl/>
                <w:lang w:val="fr-FR" w:bidi="ar-DZ"/>
              </w:rPr>
              <w:t>1ن</w:t>
            </w: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  <w:r w:rsidRPr="00646E3E">
              <w:rPr>
                <w:rFonts w:hint="cs"/>
                <w:b/>
                <w:bCs/>
                <w:color w:val="FF0000"/>
                <w:rtl/>
                <w:lang w:val="fr-FR" w:bidi="ar-DZ"/>
              </w:rPr>
              <w:t>2ن</w:t>
            </w: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6622B1" w:rsidRPr="00646E3E" w:rsidRDefault="006622B1" w:rsidP="006622B1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  <w:r w:rsidRPr="00646E3E">
              <w:rPr>
                <w:rFonts w:hint="cs"/>
                <w:b/>
                <w:bCs/>
                <w:color w:val="FF0000"/>
                <w:rtl/>
                <w:lang w:val="fr-FR" w:bidi="ar-DZ"/>
              </w:rPr>
              <w:t>2ن</w:t>
            </w: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622B1" w:rsidRDefault="006622B1" w:rsidP="00705EF7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val="fr-FR" w:bidi="ar-DZ"/>
              </w:rPr>
              <w:t>8ن</w:t>
            </w:r>
          </w:p>
          <w:p w:rsidR="0055197D" w:rsidRPr="00646E3E" w:rsidRDefault="0055197D" w:rsidP="00705EF7">
            <w:pPr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jc w:val="center"/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705EF7">
            <w:pPr>
              <w:rPr>
                <w:b/>
                <w:bCs/>
                <w:color w:val="FF0000"/>
                <w:rtl/>
                <w:lang w:val="fr-FR" w:bidi="ar-DZ"/>
              </w:rPr>
            </w:pPr>
          </w:p>
          <w:p w:rsidR="0055197D" w:rsidRPr="00646E3E" w:rsidRDefault="0055197D" w:rsidP="00512C6C">
            <w:pPr>
              <w:jc w:val="center"/>
              <w:rPr>
                <w:rtl/>
                <w:lang w:val="fr-FR" w:bidi="ar-DZ"/>
              </w:rPr>
            </w:pPr>
          </w:p>
        </w:tc>
      </w:tr>
    </w:tbl>
    <w:p w:rsidR="00DE38F6" w:rsidRDefault="00DE38F6" w:rsidP="0055197D"/>
    <w:sectPr w:rsidR="00DE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F34"/>
    <w:multiLevelType w:val="hybridMultilevel"/>
    <w:tmpl w:val="5C9C5B5E"/>
    <w:lvl w:ilvl="0" w:tplc="201C5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1DE"/>
    <w:multiLevelType w:val="hybridMultilevel"/>
    <w:tmpl w:val="31F602BC"/>
    <w:lvl w:ilvl="0" w:tplc="AA16960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7D"/>
    <w:rsid w:val="001E7AAB"/>
    <w:rsid w:val="003266D2"/>
    <w:rsid w:val="00362951"/>
    <w:rsid w:val="00375101"/>
    <w:rsid w:val="00493557"/>
    <w:rsid w:val="004A3356"/>
    <w:rsid w:val="00512C6C"/>
    <w:rsid w:val="0055197D"/>
    <w:rsid w:val="006622B1"/>
    <w:rsid w:val="006A19D8"/>
    <w:rsid w:val="007B21C0"/>
    <w:rsid w:val="008C0A33"/>
    <w:rsid w:val="00A2010A"/>
    <w:rsid w:val="00A87B29"/>
    <w:rsid w:val="00AE7544"/>
    <w:rsid w:val="00C356E6"/>
    <w:rsid w:val="00C961F2"/>
    <w:rsid w:val="00DE38F6"/>
    <w:rsid w:val="00F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D"/>
    <w:pPr>
      <w:bidi/>
      <w:spacing w:after="0" w:line="240" w:lineRule="auto"/>
    </w:pPr>
    <w:rPr>
      <w:rFonts w:ascii="Times New Roman" w:eastAsia="Batang" w:hAnsi="Times New Roman" w:cs="Simplified Arabic"/>
      <w:sz w:val="24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97D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table" w:styleId="Grilledutableau">
    <w:name w:val="Table Grid"/>
    <w:basedOn w:val="TableauNormal"/>
    <w:rsid w:val="0055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19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9D8"/>
    <w:rPr>
      <w:rFonts w:ascii="Tahoma" w:eastAsia="Batang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D"/>
    <w:pPr>
      <w:bidi/>
      <w:spacing w:after="0" w:line="240" w:lineRule="auto"/>
    </w:pPr>
    <w:rPr>
      <w:rFonts w:ascii="Times New Roman" w:eastAsia="Batang" w:hAnsi="Times New Roman" w:cs="Simplified Arabic"/>
      <w:sz w:val="24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97D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table" w:styleId="Grilledutableau">
    <w:name w:val="Table Grid"/>
    <w:basedOn w:val="TableauNormal"/>
    <w:rsid w:val="0055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19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9D8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Charles</dc:creator>
  <cp:lastModifiedBy>Jean Charles</cp:lastModifiedBy>
  <cp:revision>2</cp:revision>
  <cp:lastPrinted>2023-01-18T06:19:00Z</cp:lastPrinted>
  <dcterms:created xsi:type="dcterms:W3CDTF">2023-01-31T06:10:00Z</dcterms:created>
  <dcterms:modified xsi:type="dcterms:W3CDTF">2023-01-31T06:10:00Z</dcterms:modified>
</cp:coreProperties>
</file>