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A6" w:rsidRPr="000661A6" w:rsidRDefault="000661A6" w:rsidP="000661A6">
      <w:pPr>
        <w:jc w:val="center"/>
        <w:rPr>
          <w:rFonts w:ascii="Traditional Arabic" w:hAnsi="Traditional Arabic" w:cs="Traditional Arabic"/>
          <w:sz w:val="36"/>
          <w:szCs w:val="36"/>
          <w:u w:val="single"/>
          <w:lang w:bidi="ar-MA"/>
        </w:rPr>
      </w:pPr>
      <w:r w:rsidRPr="000661A6"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MA"/>
        </w:rPr>
        <w:t xml:space="preserve">محاضرة </w:t>
      </w:r>
      <w:r w:rsidRPr="000661A6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MA"/>
        </w:rPr>
        <w:t>طريقة تقطيع الشِّعر</w:t>
      </w:r>
    </w:p>
    <w:p w:rsidR="000661A6" w:rsidRPr="00172E73" w:rsidRDefault="00172E73" w:rsidP="00172E73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proofErr w:type="spellStart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الأستاذ/</w:t>
      </w:r>
      <w:proofErr w:type="spellEnd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صلاح الدين </w:t>
      </w:r>
      <w:proofErr w:type="spellStart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باوية</w:t>
      </w:r>
      <w:proofErr w:type="spellEnd"/>
    </w:p>
    <w:p w:rsidR="00172E73" w:rsidRPr="00172E73" w:rsidRDefault="00172E73" w:rsidP="00172E73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proofErr w:type="spellStart"/>
      <w:proofErr w:type="gramStart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مقياس</w:t>
      </w:r>
      <w:proofErr w:type="gramEnd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proofErr w:type="spellEnd"/>
      <w:r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علم العروض وموسيقى الشعر</w:t>
      </w:r>
    </w:p>
    <w:p w:rsidR="00172E73" w:rsidRDefault="000542C5" w:rsidP="00172E73">
      <w:pPr>
        <w:jc w:val="right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سنة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ثانية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ماستر</w:t>
      </w:r>
      <w:r w:rsidR="00172E73" w:rsidRP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(</w:t>
      </w:r>
      <w:r w:rsid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الأفواج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(01،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02</w:t>
      </w:r>
      <w:proofErr w:type="spellStart"/>
      <w:r w:rsidR="00172E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)</w:t>
      </w:r>
      <w:proofErr w:type="spellEnd"/>
      <w:r w:rsidR="00172E7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</w:p>
    <w:p w:rsidR="00172E73" w:rsidRPr="000542C5" w:rsidRDefault="000542C5" w:rsidP="00172E73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proofErr w:type="spellStart"/>
      <w:r w:rsidRPr="000542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تخصص:</w:t>
      </w:r>
      <w:proofErr w:type="spellEnd"/>
      <w:r w:rsidRPr="000542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أدب عربي قديم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لأجل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تعلّم طريقة تقطيع الشِّعر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العربي،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فإنَّ التقطيع في العروض يعتمد على ثلاث مراحل أساسية وهي: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01-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التَّجزئة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"الكتابة العروضية"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02-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الترميز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"وضع الرموز"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03-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التفعيل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 "وضع التَّفاعيل"</w:t>
      </w:r>
    </w:p>
    <w:p w:rsidR="000661A6" w:rsidRDefault="000661A6" w:rsidP="000661A6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أولاً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الكتابة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العروضية: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وهي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المرحلة الأولى من مراحل تقطيع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الشِّعر،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بحيث تعتمد على المنطوق دون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المكتوب،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أي الملفوظ دون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المخطوط،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نقوم في هذه المرحلة بكتابة البيت الشِّعري مثلما ننطق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تمامًا،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اعتمادًا على مخارج الحروف أي الصّوت الذي يصدر حين نطقنا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تبدو للوهلة الأولى أنَّ هذه العملية سهلة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وبسيطة،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إلاَّ أنَّ هناك قواعد اصطلح عليها علماء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العروض،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فلا بدَّ من مراعاتها والأخذ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أثناء عملية الكتابة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العروضية،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وهذا حتى يكون الطَّالب والدَّارس في مأمن من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الزَّلل،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وهذه القواعد هي:</w:t>
      </w:r>
    </w:p>
    <w:p w:rsidR="000661A6" w:rsidRDefault="000661A6" w:rsidP="00A01560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01-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الحرف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المشدَّد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إنما هو في الأصل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حرفان،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أولهما ساكن والثاني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متحرك،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 w:rsidR="00A01560"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إنَّ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تكتب: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إ</w:t>
      </w:r>
      <w:r w:rsidR="00A01560">
        <w:rPr>
          <w:rFonts w:ascii="Traditional Arabic" w:hAnsi="Traditional Arabic" w:cs="Traditional Arabic"/>
          <w:sz w:val="36"/>
          <w:szCs w:val="36"/>
          <w:rtl/>
          <w:lang w:bidi="ar-MA"/>
        </w:rPr>
        <w:t>نْـــنَ،</w:t>
      </w:r>
      <w:proofErr w:type="spellEnd"/>
      <w:r w:rsidR="00A01560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سَلَّمَ </w:t>
      </w:r>
      <w:proofErr w:type="spellStart"/>
      <w:r w:rsidR="00A01560">
        <w:rPr>
          <w:rFonts w:ascii="Traditional Arabic" w:hAnsi="Traditional Arabic" w:cs="Traditional Arabic"/>
          <w:sz w:val="36"/>
          <w:szCs w:val="36"/>
          <w:rtl/>
          <w:lang w:bidi="ar-MA"/>
        </w:rPr>
        <w:t>تكتب:</w:t>
      </w:r>
      <w:proofErr w:type="spellEnd"/>
      <w:r w:rsidR="00A01560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 w:rsidR="00A01560">
        <w:rPr>
          <w:rFonts w:ascii="Traditional Arabic" w:hAnsi="Traditional Arabic" w:cs="Traditional Arabic"/>
          <w:sz w:val="36"/>
          <w:szCs w:val="36"/>
          <w:rtl/>
          <w:lang w:bidi="ar-MA"/>
        </w:rPr>
        <w:t>سَلْلَمَ</w:t>
      </w:r>
      <w:proofErr w:type="spellEnd"/>
      <w:r w:rsidR="00A01560">
        <w:rPr>
          <w:rFonts w:ascii="Traditional Arabic" w:hAnsi="Traditional Arabic" w:cs="Traditional Arabic"/>
          <w:sz w:val="36"/>
          <w:szCs w:val="36"/>
          <w:lang w:bidi="ar-MA"/>
        </w:rPr>
        <w:t>.</w:t>
      </w:r>
    </w:p>
    <w:p w:rsidR="00A01560" w:rsidRDefault="000661A6" w:rsidP="00A01560">
      <w:pPr>
        <w:rPr>
          <w:rFonts w:ascii="Traditional Arabic" w:hAnsi="Traditional Arabic" w:cs="Traditional Arabic"/>
          <w:sz w:val="36"/>
          <w:szCs w:val="36"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02-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التنوين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يكتبُ التنوين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نونًا،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قمرٌ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يكتب: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قَمَرُنْ،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عِلْمٌ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عِلْمُنْ،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قدرٌ يكتب: </w:t>
      </w:r>
      <w:r w:rsidR="00A01560"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</w:p>
    <w:p w:rsidR="000661A6" w:rsidRDefault="00A01560" w:rsidP="00A01560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              </w:t>
      </w:r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قَدرُنْ....</w:t>
      </w:r>
      <w:proofErr w:type="gram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الخ</w:t>
      </w:r>
      <w:proofErr w:type="gram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</w:p>
    <w:p w:rsidR="00A01560" w:rsidRDefault="000661A6" w:rsidP="00A01560">
      <w:pPr>
        <w:jc w:val="both"/>
        <w:rPr>
          <w:rFonts w:ascii="Traditional Arabic" w:hAnsi="Traditional Arabic" w:cs="Traditional Arabic"/>
          <w:sz w:val="36"/>
          <w:szCs w:val="36"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03-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ترسم الألف في كل مد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مفتوح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مثل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كلمة: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هذا عند نطقنا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هي في الأصل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هَاذَا،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ولكن </w:t>
      </w:r>
    </w:p>
    <w:p w:rsidR="000661A6" w:rsidRDefault="00A01560" w:rsidP="00A01560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           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ترسم: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لاَكنْ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</w:p>
    <w:p w:rsidR="000661A6" w:rsidRDefault="000661A6" w:rsidP="00A01560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04-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ترسم الواو في كل مد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مضموم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مثل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داودُ،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فإنها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عروضيا: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دَاوُودُ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lastRenderedPageBreak/>
        <w:t>05-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حركة الإشباع يضاف إليها حركة المد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المناسب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ترسم حركة الإشباع للحرف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المتحرك،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فيشبع الحرف المجرور بالياء كما في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بهِ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: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بهي،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كما يشبع الحرف المرفوع بالضمَّة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نحو: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عنهُ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عنهُو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</w:p>
    <w:p w:rsidR="00A01560" w:rsidRDefault="000661A6" w:rsidP="00A01560">
      <w:pPr>
        <w:jc w:val="both"/>
        <w:rPr>
          <w:rFonts w:ascii="Traditional Arabic" w:hAnsi="Traditional Arabic" w:cs="Traditional Arabic"/>
          <w:sz w:val="36"/>
          <w:szCs w:val="36"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06-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تشبع وجوبًا حركة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الرَّوي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أي الحرف الذي تبنى عليه القصيدة</w:t>
      </w:r>
      <w:r w:rsidR="00A01560"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جعْفرُ،ترسم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جعْفرُو،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في </w:t>
      </w:r>
      <w:r w:rsidR="00A01560"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</w:p>
    <w:p w:rsidR="000661A6" w:rsidRDefault="00A01560" w:rsidP="00A01560">
      <w:pPr>
        <w:jc w:val="both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     </w:t>
      </w:r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ضرب البيت (مُلْكًا يحسِّنُهُ </w:t>
      </w:r>
      <w:proofErr w:type="gram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الخليفَةُ</w:t>
      </w:r>
      <w:proofErr w:type="gram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جَعْفَرُ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)</w:t>
      </w:r>
      <w:proofErr w:type="spellEnd"/>
    </w:p>
    <w:p w:rsidR="000661A6" w:rsidRDefault="000661A6" w:rsidP="00A01560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07-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همزة الوصل المسبوقة بمتحرك لا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تكتب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فَاعْلَمْ،تكتب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فعْلَمْ،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فاسمعْ: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تكتب فَسْمَعْ...</w:t>
      </w:r>
    </w:p>
    <w:p w:rsidR="000661A6" w:rsidRDefault="000661A6" w:rsidP="00A01560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08-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تحذف أل الشَّمسية في عرض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الكلام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علم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النَّحو،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عِلْمُنْنَحْوِ،</w:t>
      </w:r>
      <w:proofErr w:type="spellEnd"/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09-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تحذف ألف أداة التعريف (ال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في عرض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الكلام: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مثل خفقَانُ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القلبِ: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تكتب خفَقَا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نُلْقَلْبِ</w:t>
      </w:r>
      <w:proofErr w:type="spellEnd"/>
    </w:p>
    <w:p w:rsidR="000661A6" w:rsidRDefault="000661A6" w:rsidP="00A01560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10-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تحذف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"واو"عمرو،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و"ألف"أنا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وجوبًا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نحو أنا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تكتب: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أنَ،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وعمْرُو: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تكتب عمْرُ</w:t>
      </w:r>
    </w:p>
    <w:p w:rsidR="000661A6" w:rsidRDefault="000661A6" w:rsidP="00A01560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11-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إذا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اجتمعا ساكنان في غير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قافية،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يثبت ساكن واحد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في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المنزلِ،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تكتب فِلْمَنْزلِ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12-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حروف المدّ تعتبر حروف ساكنة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ذو،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في،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فالألف والواو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والياء،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تسقط أمام الحرف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السَّاكن،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ما عدا في آخر البيت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قَالــُوا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امْرُؤٌ: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فإنها تكتب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قَالُـمْرُؤُنْ</w:t>
      </w:r>
      <w:proofErr w:type="spellEnd"/>
      <w:r w:rsidR="00A01560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MA"/>
        </w:rPr>
        <w:footnoteReference w:id="1"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هذه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هي أهم القواعد القياسية التي ضبطها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العروضيون،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من أجل تطبيقها على النَّص الشِّعري المراد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دراسته،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لذا وجب علينا فهمها جيِّدًا وبرويَّة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وتركيز،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ثم نستحضرها بعد ذلك كلما طبقنا على الأبيات الشِّعرية.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بعدما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عرفنا مفهوم الكتابة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العروضية،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وأهم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قواعدها،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نحاول أن نكتب في حذر هذا البيت الشِّعري وفقًا للمنطوق لا المكتوب.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قال الشَّاعر السوري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عمر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أبو ريشة: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                 لاَ يُلاَمُ الذِّئْبُ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في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عُدْوانِــــــهِ    </w:t>
      </w:r>
    </w:p>
    <w:p w:rsidR="000661A6" w:rsidRDefault="000661A6" w:rsidP="000661A6">
      <w:pPr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                 </w:t>
      </w:r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إنْ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يَكُ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الرَّاعِي عَدُوَّ اْلغَنَمِ</w:t>
      </w:r>
    </w:p>
    <w:p w:rsidR="000661A6" w:rsidRDefault="000661A6" w:rsidP="000661A6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الكتابة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العروضية: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                 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لاَ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يُلامُذْ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/ذِئْبُ في عُدْ/وَانـِهِي  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                                     </w:t>
      </w:r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    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إنْ يَكُرْرا/عِي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عَدُوْوَلْ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/غَنَمِي</w:t>
      </w:r>
    </w:p>
    <w:p w:rsidR="00A01560" w:rsidRDefault="00A01560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lastRenderedPageBreak/>
        <w:t>ثانيًا-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التَّرميز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:"وضع الرموز"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بعد اجتياز المرحلة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الأولى،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والتَّأتي من كتابة البيت الشِّعري كتابةً عروضيةً صحيحةً وفقًا للقوانين التي مرَّت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بنا،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تأتي هذه المرحلة الثَّانية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وهي"التَّرميز"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أي وضع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الرُّموز،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بمعنى تعويض حركات وسكنات البيت الشِّعري برموز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تقابلها،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حيث يكون العمل في ذلك تعويض الحركات من ضمَّةٍ أو فتحةٍ أو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كسرة،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بالعلامة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/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)،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والسُّكون بالعلامة (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0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).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بمعنى أن الضَّمة أو الفتحة أو الكسرة من كل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حرف،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يقابلها حركة.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والسَّاكن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من كلِّ حرفٍ يقابلهُ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سكون،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وفقًا للمنطوق من الحروف والكلمات.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ومنهُ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يمكن ترميز البيت الشِّعري اعتمادًا على الكتابة العروضية بالدَّرجة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الأولى،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كما يمكن ترميزه اعتمادًا على النُّطق كذلك.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إنَّنا نحصل عند ترميز هذا البيت الشِّعري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–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مثلاً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على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ما يلي: </w:t>
      </w:r>
    </w:p>
    <w:p w:rsidR="00B9670A" w:rsidRDefault="00B9670A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0661A6" w:rsidRDefault="000661A6" w:rsidP="000661A6">
      <w:pPr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لاَ يُلاَمُ الذِّئْبُ في عُدْوانِــــــهِ       إنْ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يَكُ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الرَّاعِي عَدُوَّ اْلغَنَمِ</w:t>
      </w:r>
    </w:p>
    <w:p w:rsidR="000661A6" w:rsidRDefault="000661A6" w:rsidP="000661A6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لاَ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يُلامُذْ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/ذِئْبُ في عُدْ/وَانـِهِي      إنْ يَكُرْرَا/عِي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عَدُوْوَلْ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/غَنَمِي</w:t>
      </w:r>
    </w:p>
    <w:p w:rsidR="000661A6" w:rsidRDefault="000661A6" w:rsidP="000661A6">
      <w:pPr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 </w:t>
      </w:r>
      <w:r w:rsidR="00A01560">
        <w:rPr>
          <w:rFonts w:ascii="Traditional Arabic" w:hAnsi="Traditional Arabic" w:cs="Traditional Arabic"/>
          <w:sz w:val="36"/>
          <w:szCs w:val="36"/>
          <w:lang w:bidi="ar-MA"/>
        </w:rPr>
        <w:t xml:space="preserve">                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/0//0/0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/0//0/0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/0//0-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     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/0//0/0-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/0//0/0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///0-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ولا بأس إذا سقنا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مثالاً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آخرَ بخصوص التَّرميز:</w:t>
      </w: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قال الشَّاعر أبو الطيب المتنبي:</w:t>
      </w:r>
    </w:p>
    <w:p w:rsidR="00B9670A" w:rsidRDefault="00B9670A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0661A6" w:rsidRDefault="000661A6" w:rsidP="000661A6">
      <w:pPr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عَلَى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قَدْرِ أَهْلِ اْلعَزْمِ تَأْتِي اْلعَزَائِمُ    وَتَأْتِي عَلَى قَدْرِ اْلكِرَامِ اْلـمَكَارِمُ</w:t>
      </w:r>
    </w:p>
    <w:p w:rsidR="000661A6" w:rsidRDefault="000661A6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</w:t>
      </w:r>
      <w:r w:rsidR="00A015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عَلَىْ قَدْ/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رِأَهْلِلْ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عَزْ/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مِ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تَأْتِلْ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/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عَزَائِمُو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وَتَأْتِي/عَلَىْ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قَدْرِلْ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/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كِرَامِلْ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/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مَكَارِمُو</w:t>
      </w:r>
      <w:proofErr w:type="spellEnd"/>
    </w:p>
    <w:p w:rsidR="000661A6" w:rsidRDefault="000661A6" w:rsidP="000661A6">
      <w:pPr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  </w:t>
      </w:r>
      <w:r w:rsidR="00A01560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              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//0/0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//0/0/0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//0/0-//0//0  //0/0-//0/0/0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//0/0-//0//0</w:t>
      </w:r>
    </w:p>
    <w:p w:rsidR="000661A6" w:rsidRDefault="000661A6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172E73" w:rsidRDefault="00172E73" w:rsidP="000661A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0661A6" w:rsidRDefault="000661A6" w:rsidP="000661A6">
      <w:pPr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lastRenderedPageBreak/>
        <w:t>ثالثًا-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التَّفعيل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:"رسمُ التَّفاعيل"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لعلَّ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هذه المرحلة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الأخيرة،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تُعدُّ أهمَّ مرحلةٍ من المراحل التي سبقتها. فإنها الخطوة الأساسية في عملية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التَّقطيع،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وذلك بوضع التَّفاعيل الملائمة للرُّموز المتحصّل عليها.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حيث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تعتمد هذه المرحلة على مدى تمكّن الطَّالب أو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الدَّارس،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وإلمامهِ بأوزان البحور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الشِّعرية،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إذ أنَّ بالممارسة المستمرة عن طريق التَّطبيقات يستطيع الطالب أن يتعرَّف على أوزان البحور الشِّعرية وجوازاتها.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لكن على الطَّالب والمتعلّم توخَّي الحيطة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والحذر،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والتَّحلَّي بالذَّكاء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والفِطنة،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لأنه لدينا هنا ما يعرف بالزِّحافات والعلل التي تطرأ على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التَّفاعيل،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هذه الأخيرة إذا دخلت على تفعيلة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فإنها تُغيِّر من صورتها الأصلية لتأخذ صورًا أخرى مغايرة.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لذا فعلينا التركيز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الجيِّد،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والدِّقة المتناهية عند وضعنا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للتَّفاعيل،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وربما الاعتماد على عنصر التَّذوق الفِطري (التَّحسّس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)،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وتوخي الإيقاع الطريقة المثلى لوضع التَّفاعيل المناسبة للرموز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العروضية،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دون خلط أو اشتباه بين تفاعيل البحور الشِّعرية.</w:t>
      </w:r>
    </w:p>
    <w:p w:rsidR="000661A6" w:rsidRDefault="00A01560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</w:t>
      </w:r>
      <w:proofErr w:type="gram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فمثلاً</w:t>
      </w:r>
      <w:proofErr w:type="gram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إذا كان لدينا بيتًا من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الشِّعر،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وتحصَّلنا بعد كتابته كتابةً عروضيةً على الرُّموز الآتية:</w:t>
      </w:r>
    </w:p>
    <w:p w:rsidR="000661A6" w:rsidRDefault="00A01560" w:rsidP="000661A6">
      <w:pPr>
        <w:jc w:val="center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   </w:t>
      </w:r>
      <w:r w:rsidR="000661A6">
        <w:rPr>
          <w:rFonts w:ascii="Traditional Arabic" w:hAnsi="Traditional Arabic" w:cs="Traditional Arabic"/>
          <w:sz w:val="28"/>
          <w:szCs w:val="28"/>
          <w:rtl/>
          <w:lang w:bidi="ar-MA"/>
        </w:rPr>
        <w:t>/0/0//0   /0/0//0   /0/0/0        /0/0//0  /0/0//0 //0/0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فإنك تقول إنه من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الكامل،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ثم يتبيَّن لك أنه ليس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منه،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ثم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تقول: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بل هو من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الرَّجز،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وتجد نفسك غير قادر على تحديد تفاعيل هذه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الرُّموز</w:t>
      </w:r>
      <w:r w:rsidR="00A01560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MA"/>
        </w:rPr>
        <w:footnoteReference w:id="2"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.</w:t>
      </w:r>
      <w:proofErr w:type="gramEnd"/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 ذلك أن لكلِّ بحر من البحور الشِّعرية صورًا مختلفة يأتي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عليها،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وتلك الصور هي عبارة عن التَّفاعيل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نفسها،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لكن طرأت عليها بعض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الجوازات،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بعدما دخلت عليها الزِّحافات أو العلل ممَّا أدى إلى تغيير بنيتها التركيبية.</w:t>
      </w:r>
    </w:p>
    <w:p w:rsidR="000661A6" w:rsidRDefault="0051122E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</w:t>
      </w:r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هذا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وارد،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أو أنها تحوَّلت من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تامةٍ،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إلى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مجزوءةٍ،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أو </w:t>
      </w:r>
      <w:proofErr w:type="spellStart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>مشطورةٍ،</w:t>
      </w:r>
      <w:proofErr w:type="spellEnd"/>
      <w:r w:rsidR="000661A6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أو منهوكةٍ.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وهذا الأمر يحدث في معظم البحور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الشِّعرية،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سواء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أكانت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بحورًا صافية أم ممزوجة.</w:t>
      </w:r>
    </w:p>
    <w:p w:rsidR="000661A6" w:rsidRDefault="000661A6" w:rsidP="000661A6">
      <w:pPr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  من كلِّ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هذا،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فمن الأحرى بالطَّالب التَّعرف على جميع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أعاريض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البحور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الش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ِّ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عرية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وأضربها،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كي يحسن وضع التَّفاعيل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الملائمة،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ولا يقع في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متاهاتٍ،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ويصبح  خبط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عشواء،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أو كحاطبٍ بليل.</w:t>
      </w:r>
    </w:p>
    <w:p w:rsidR="00E24B72" w:rsidRDefault="000661A6" w:rsidP="00172E73">
      <w:pPr>
        <w:jc w:val="both"/>
        <w:rPr>
          <w:lang w:bidi="ar-MA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لاسيما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وقد لاحظنا مرارًا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وتكرارًا،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أن غالبية الطّلبة والطّالبات قد يحسنون الكتابة العروضية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للأشعار،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وكذا وضع الرُّموز المناسبة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>لها،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لكن الأمر يختلط عليهم أثناء عملية وضع التَّفاعيل.</w:t>
      </w:r>
    </w:p>
    <w:sectPr w:rsidR="00E24B72" w:rsidSect="004C4A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C5" w:rsidRDefault="00BF0AC5" w:rsidP="00A01560">
      <w:r>
        <w:separator/>
      </w:r>
    </w:p>
  </w:endnote>
  <w:endnote w:type="continuationSeparator" w:id="0">
    <w:p w:rsidR="00BF0AC5" w:rsidRDefault="00BF0AC5" w:rsidP="00A01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1413469"/>
      <w:docPartObj>
        <w:docPartGallery w:val="Page Numbers (Bottom of Page)"/>
        <w:docPartUnique/>
      </w:docPartObj>
    </w:sdtPr>
    <w:sdtContent>
      <w:p w:rsidR="000542C5" w:rsidRDefault="000542C5">
        <w:pPr>
          <w:pStyle w:val="Pieddepage"/>
        </w:pPr>
        <w:r w:rsidRPr="000542C5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73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;v-text-anchor:top" filled="f" fillcolor="#17365d [2415]" strokecolor="#71a0dc [1631]">
              <v:textbox style="mso-next-textbox:#_x0000_s3073">
                <w:txbxContent>
                  <w:p w:rsidR="000542C5" w:rsidRDefault="000542C5">
                    <w:pPr>
                      <w:jc w:val="center"/>
                      <w:rPr>
                        <w:color w:val="4F81BD" w:themeColor="accent1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0542C5">
                      <w:rPr>
                        <w:noProof/>
                        <w:color w:val="4F81BD" w:themeColor="accent1"/>
                        <w:rtl/>
                      </w:rPr>
                      <w:t>4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C5" w:rsidRDefault="00BF0AC5" w:rsidP="00A01560">
      <w:r>
        <w:separator/>
      </w:r>
    </w:p>
  </w:footnote>
  <w:footnote w:type="continuationSeparator" w:id="0">
    <w:p w:rsidR="00BF0AC5" w:rsidRDefault="00BF0AC5" w:rsidP="00A01560">
      <w:r>
        <w:continuationSeparator/>
      </w:r>
    </w:p>
  </w:footnote>
  <w:footnote w:id="1">
    <w:p w:rsidR="00A01560" w:rsidRPr="00A01560" w:rsidRDefault="00A01560" w:rsidP="00A01560">
      <w:pPr>
        <w:ind w:left="36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ينظر عبد الرحمان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تبرماسين</w:t>
      </w:r>
      <w:r w:rsidRPr="00A01560">
        <w:rPr>
          <w:rFonts w:ascii="Traditional Arabic" w:hAnsi="Traditional Arabic" w:cs="Traditional Arabic"/>
          <w:sz w:val="36"/>
          <w:szCs w:val="36"/>
          <w:rtl/>
          <w:lang w:bidi="ar-MA"/>
        </w:rPr>
        <w:t>،</w:t>
      </w:r>
      <w:proofErr w:type="spellEnd"/>
      <w:r w:rsidRPr="00A01560">
        <w:rPr>
          <w:rFonts w:ascii="Traditional Arabic" w:hAnsi="Traditional Arabic" w:cs="Traditional Arabic"/>
          <w:sz w:val="36"/>
          <w:szCs w:val="36"/>
          <w:rtl/>
          <w:lang w:bidi="ar-MA"/>
        </w:rPr>
        <w:t xml:space="preserve"> </w:t>
      </w:r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العروض وإيقاع الشعر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العربي،</w:t>
      </w:r>
      <w:proofErr w:type="spellEnd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دار الفجر للنشر والتوزيع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القاهرة،</w:t>
      </w:r>
      <w:proofErr w:type="spellEnd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ط.1،</w:t>
      </w:r>
      <w:proofErr w:type="spellEnd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2003،</w:t>
      </w:r>
      <w:proofErr w:type="spellEnd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proofErr w:type="spellStart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ص11</w:t>
      </w:r>
      <w:proofErr w:type="spellEnd"/>
      <w:r w:rsidRPr="00A01560">
        <w:rPr>
          <w:rFonts w:ascii="Traditional Arabic" w:hAnsi="Traditional Arabic" w:cs="Traditional Arabic"/>
          <w:sz w:val="28"/>
          <w:szCs w:val="28"/>
          <w:rtl/>
          <w:lang w:bidi="ar-MA"/>
        </w:rPr>
        <w:t>.</w:t>
      </w:r>
    </w:p>
    <w:p w:rsidR="00A01560" w:rsidRPr="00A01560" w:rsidRDefault="00A01560">
      <w:pPr>
        <w:pStyle w:val="Notedebasdepage"/>
        <w:rPr>
          <w:lang w:val="fr-FR" w:bidi="ar-MA"/>
        </w:rPr>
      </w:pPr>
    </w:p>
  </w:footnote>
  <w:footnote w:id="2">
    <w:p w:rsidR="00A01560" w:rsidRDefault="00A01560" w:rsidP="00172E73">
      <w:pPr>
        <w:rPr>
          <w:lang w:bidi="ar-MA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ينظر عبد الكريم </w:t>
      </w:r>
      <w:proofErr w:type="spellStart"/>
      <w:proofErr w:type="gram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خليل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،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في علمي العروض والقافية دروس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وتطبيقات،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(مخطوط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)،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MA"/>
        </w:rPr>
        <w:t>ص10</w:t>
      </w:r>
      <w:proofErr w:type="spellEnd"/>
      <w:r w:rsidR="00172E73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E639D"/>
    <w:multiLevelType w:val="hybridMultilevel"/>
    <w:tmpl w:val="A512324C"/>
    <w:lvl w:ilvl="0" w:tplc="3D02E37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661A6"/>
    <w:rsid w:val="000542C5"/>
    <w:rsid w:val="000661A6"/>
    <w:rsid w:val="00172E73"/>
    <w:rsid w:val="004C4AE9"/>
    <w:rsid w:val="0051122E"/>
    <w:rsid w:val="00A01560"/>
    <w:rsid w:val="00AB25A3"/>
    <w:rsid w:val="00AD3594"/>
    <w:rsid w:val="00B9670A"/>
    <w:rsid w:val="00BF0AC5"/>
    <w:rsid w:val="00E2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156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A0156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015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A0156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15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15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A01560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542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42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542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42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93F6E-E4A1-4863-84ED-58B80D3C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2021-01-24T12:10:00Z</dcterms:created>
  <dcterms:modified xsi:type="dcterms:W3CDTF">2022-01-14T09:16:00Z</dcterms:modified>
</cp:coreProperties>
</file>