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22C" w:rsidRPr="001E68D0" w:rsidRDefault="0069222C" w:rsidP="0069222C">
      <w:pPr>
        <w:rPr>
          <w:rFonts w:asciiTheme="majorBidi" w:hAnsiTheme="majorBidi" w:cstheme="majorBidi"/>
          <w:b/>
          <w:bCs/>
          <w:sz w:val="32"/>
          <w:szCs w:val="32"/>
        </w:rPr>
      </w:pPr>
      <w:bookmarkStart w:id="0" w:name="_GoBack"/>
      <w:bookmarkEnd w:id="0"/>
      <w:r w:rsidRPr="001E68D0">
        <w:rPr>
          <w:rFonts w:asciiTheme="majorBidi" w:hAnsiTheme="majorBidi" w:cstheme="majorBidi"/>
          <w:b/>
          <w:bCs/>
          <w:sz w:val="32"/>
          <w:szCs w:val="32"/>
        </w:rPr>
        <w:t>La notion de « transposition didactique » (TD)</w:t>
      </w:r>
    </w:p>
    <w:p w:rsidR="0069222C" w:rsidRDefault="0069222C" w:rsidP="0069222C">
      <w:pPr>
        <w:ind w:firstLine="708"/>
        <w:jc w:val="both"/>
        <w:rPr>
          <w:rFonts w:asciiTheme="majorBidi" w:hAnsiTheme="majorBidi" w:cstheme="majorBidi"/>
          <w:sz w:val="24"/>
          <w:szCs w:val="24"/>
        </w:rPr>
      </w:pPr>
      <w:r w:rsidRPr="0016250D">
        <w:rPr>
          <w:rFonts w:asciiTheme="majorBidi" w:hAnsiTheme="majorBidi" w:cstheme="majorBidi"/>
          <w:sz w:val="24"/>
          <w:szCs w:val="24"/>
        </w:rPr>
        <w:t>Parmi</w:t>
      </w:r>
      <w:r>
        <w:rPr>
          <w:rFonts w:asciiTheme="majorBidi" w:hAnsiTheme="majorBidi" w:cstheme="majorBidi"/>
          <w:sz w:val="24"/>
          <w:szCs w:val="24"/>
        </w:rPr>
        <w:t xml:space="preserve"> l</w:t>
      </w:r>
      <w:r w:rsidRPr="0016250D">
        <w:rPr>
          <w:rFonts w:asciiTheme="majorBidi" w:hAnsiTheme="majorBidi" w:cstheme="majorBidi"/>
          <w:sz w:val="24"/>
          <w:szCs w:val="24"/>
        </w:rPr>
        <w:t xml:space="preserve">es concepts qui ont joué un rôle </w:t>
      </w:r>
      <w:r>
        <w:rPr>
          <w:rFonts w:asciiTheme="majorBidi" w:hAnsiTheme="majorBidi" w:cstheme="majorBidi"/>
          <w:sz w:val="24"/>
          <w:szCs w:val="24"/>
        </w:rPr>
        <w:t>fondateur</w:t>
      </w:r>
      <w:r w:rsidRPr="0016250D">
        <w:rPr>
          <w:rFonts w:asciiTheme="majorBidi" w:hAnsiTheme="majorBidi" w:cstheme="majorBidi"/>
          <w:sz w:val="24"/>
          <w:szCs w:val="24"/>
        </w:rPr>
        <w:t xml:space="preserve"> dans la constitution de la didactique comme discipline scientifique, celui de « transposition didactique » est sans nul doute des plus importants. </w:t>
      </w:r>
    </w:p>
    <w:p w:rsidR="0069222C" w:rsidRDefault="0069222C" w:rsidP="0069222C">
      <w:pPr>
        <w:ind w:firstLine="708"/>
        <w:jc w:val="both"/>
        <w:rPr>
          <w:rFonts w:asciiTheme="majorBidi" w:hAnsiTheme="majorBidi" w:cstheme="majorBidi"/>
          <w:sz w:val="24"/>
          <w:szCs w:val="24"/>
        </w:rPr>
      </w:pPr>
      <w:r w:rsidRPr="00E42624">
        <w:rPr>
          <w:rFonts w:asciiTheme="majorBidi" w:hAnsiTheme="majorBidi" w:cstheme="majorBidi"/>
          <w:sz w:val="24"/>
          <w:szCs w:val="24"/>
        </w:rPr>
        <w:t>Empruntée au début des années 80 au sociologue Michel Verret en 1975, la notion de transposition didactique a été formalisée et diffusée par Y. Chevallard dans le cadre de la didactique des mathématiques. Elle sera par la suite questionnée et mise à l’épreuve au sein d’autres didactiques francophones.</w:t>
      </w:r>
      <w:r w:rsidRPr="00E42624">
        <w:rPr>
          <w:rStyle w:val="FootnoteReference"/>
          <w:rFonts w:asciiTheme="majorBidi" w:hAnsiTheme="majorBidi" w:cstheme="majorBidi"/>
          <w:sz w:val="24"/>
          <w:szCs w:val="24"/>
        </w:rPr>
        <w:footnoteReference w:id="1"/>
      </w:r>
      <w:r w:rsidRPr="00E42624">
        <w:rPr>
          <w:rFonts w:asciiTheme="majorBidi" w:hAnsiTheme="majorBidi" w:cstheme="majorBidi"/>
          <w:sz w:val="24"/>
          <w:szCs w:val="24"/>
        </w:rPr>
        <w:t xml:space="preserve"> </w:t>
      </w:r>
    </w:p>
    <w:p w:rsidR="0069222C" w:rsidRPr="0016250D" w:rsidRDefault="0069222C" w:rsidP="0069222C">
      <w:pPr>
        <w:ind w:firstLine="708"/>
        <w:jc w:val="both"/>
        <w:rPr>
          <w:rFonts w:asciiTheme="majorBidi" w:hAnsiTheme="majorBidi" w:cstheme="majorBidi"/>
          <w:sz w:val="24"/>
          <w:szCs w:val="24"/>
        </w:rPr>
      </w:pPr>
      <w:r w:rsidRPr="0016250D">
        <w:rPr>
          <w:rFonts w:asciiTheme="majorBidi" w:hAnsiTheme="majorBidi" w:cstheme="majorBidi"/>
          <w:sz w:val="24"/>
          <w:szCs w:val="24"/>
        </w:rPr>
        <w:t xml:space="preserve">Chevallard (1985)  définit la transposition didactique </w:t>
      </w:r>
      <w:r>
        <w:rPr>
          <w:rFonts w:asciiTheme="majorBidi" w:hAnsiTheme="majorBidi" w:cstheme="majorBidi"/>
          <w:sz w:val="24"/>
          <w:szCs w:val="24"/>
        </w:rPr>
        <w:t>comme suit</w:t>
      </w:r>
      <w:r w:rsidRPr="0016250D">
        <w:rPr>
          <w:rFonts w:asciiTheme="majorBidi" w:hAnsiTheme="majorBidi" w:cstheme="majorBidi"/>
          <w:sz w:val="24"/>
          <w:szCs w:val="24"/>
        </w:rPr>
        <w:t> :</w:t>
      </w:r>
    </w:p>
    <w:p w:rsidR="0069222C" w:rsidRPr="0016250D" w:rsidRDefault="0069222C" w:rsidP="0069222C">
      <w:pPr>
        <w:ind w:firstLine="708"/>
        <w:jc w:val="both"/>
        <w:rPr>
          <w:rFonts w:asciiTheme="majorBidi" w:eastAsia="CMSY6" w:hAnsiTheme="majorBidi" w:cstheme="majorBidi"/>
          <w:sz w:val="24"/>
          <w:szCs w:val="24"/>
        </w:rPr>
      </w:pPr>
      <w:r w:rsidRPr="0016250D">
        <w:rPr>
          <w:rFonts w:asciiTheme="majorBidi" w:hAnsiTheme="majorBidi" w:cstheme="majorBidi"/>
          <w:sz w:val="24"/>
          <w:szCs w:val="24"/>
        </w:rPr>
        <w:t xml:space="preserve"> « Un contenu de savoir ayant été désigné comme savoir à enseigner subit […]  dès lors un ensemble de transformations adaptatives qui vont le rendre apte à prendre place parmi les objets d’enseignement. Le « travail » qui d’un objet de savoir à enseigner fait un objet d’enseignement est appelé la transposition didactique.</w:t>
      </w:r>
      <w:r w:rsidRPr="0016250D">
        <w:rPr>
          <w:rFonts w:asciiTheme="majorBidi" w:eastAsia="CMSY6" w:hAnsiTheme="majorBidi" w:cstheme="majorBidi"/>
          <w:sz w:val="24"/>
          <w:szCs w:val="24"/>
        </w:rPr>
        <w:t> »</w:t>
      </w:r>
      <w:r w:rsidRPr="0016250D">
        <w:rPr>
          <w:rStyle w:val="FootnoteReference"/>
          <w:rFonts w:asciiTheme="majorBidi" w:eastAsia="CMSY6" w:hAnsiTheme="majorBidi" w:cstheme="majorBidi"/>
          <w:sz w:val="24"/>
          <w:szCs w:val="24"/>
        </w:rPr>
        <w:footnoteReference w:id="2"/>
      </w:r>
      <w:r w:rsidRPr="0016250D">
        <w:rPr>
          <w:rFonts w:asciiTheme="majorBidi" w:eastAsia="CMSY6" w:hAnsiTheme="majorBidi" w:cstheme="majorBidi"/>
          <w:sz w:val="24"/>
          <w:szCs w:val="24"/>
        </w:rPr>
        <w:t xml:space="preserve"> </w:t>
      </w:r>
    </w:p>
    <w:p w:rsidR="0069222C" w:rsidRDefault="0069222C" w:rsidP="0069222C">
      <w:pPr>
        <w:tabs>
          <w:tab w:val="left" w:pos="4820"/>
        </w:tabs>
        <w:jc w:val="both"/>
        <w:rPr>
          <w:rFonts w:asciiTheme="majorBidi" w:hAnsiTheme="majorBidi" w:cstheme="majorBidi"/>
          <w:sz w:val="24"/>
          <w:szCs w:val="24"/>
        </w:rPr>
      </w:pPr>
      <w:r w:rsidRPr="0016250D">
        <w:rPr>
          <w:rFonts w:asciiTheme="majorBidi" w:hAnsiTheme="majorBidi" w:cstheme="majorBidi"/>
          <w:sz w:val="24"/>
          <w:szCs w:val="24"/>
        </w:rPr>
        <w:t>On peut schématiser le processus de TD ainsi :</w:t>
      </w:r>
    </w:p>
    <w:p w:rsidR="0069222C" w:rsidRDefault="0069222C" w:rsidP="0069222C">
      <w:pPr>
        <w:rPr>
          <w:rFonts w:asciiTheme="majorBidi" w:hAnsiTheme="majorBidi" w:cstheme="majorBidi"/>
          <w:sz w:val="24"/>
          <w:szCs w:val="24"/>
        </w:rPr>
      </w:pPr>
    </w:p>
    <w:p w:rsidR="0069222C" w:rsidRPr="0016250D" w:rsidRDefault="0069222C" w:rsidP="0069222C">
      <w:pP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14:anchorId="42FF7001" wp14:editId="5C78BA51">
            <wp:extent cx="5760720" cy="2880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880200"/>
                    </a:xfrm>
                    <a:prstGeom prst="rect">
                      <a:avLst/>
                    </a:prstGeom>
                    <a:noFill/>
                    <a:ln>
                      <a:noFill/>
                    </a:ln>
                  </pic:spPr>
                </pic:pic>
              </a:graphicData>
            </a:graphic>
          </wp:inline>
        </w:drawing>
      </w:r>
    </w:p>
    <w:p w:rsidR="0069222C" w:rsidRDefault="0069222C" w:rsidP="0069222C">
      <w:pPr>
        <w:rPr>
          <w:rFonts w:asciiTheme="majorBidi" w:hAnsiTheme="majorBidi" w:cstheme="majorBidi"/>
          <w:b/>
          <w:bCs/>
          <w:sz w:val="24"/>
          <w:szCs w:val="24"/>
        </w:rPr>
      </w:pPr>
    </w:p>
    <w:p w:rsidR="0069222C" w:rsidRDefault="0069222C" w:rsidP="0069222C">
      <w:pPr>
        <w:rPr>
          <w:rFonts w:asciiTheme="majorBidi" w:hAnsiTheme="majorBidi" w:cstheme="majorBidi"/>
          <w:b/>
          <w:bCs/>
          <w:sz w:val="24"/>
          <w:szCs w:val="24"/>
        </w:rPr>
      </w:pPr>
    </w:p>
    <w:p w:rsidR="0069222C" w:rsidRDefault="0069222C" w:rsidP="0069222C">
      <w:pPr>
        <w:rPr>
          <w:rFonts w:asciiTheme="majorBidi" w:hAnsiTheme="majorBidi" w:cstheme="majorBidi"/>
          <w:b/>
          <w:bCs/>
          <w:sz w:val="24"/>
          <w:szCs w:val="24"/>
        </w:rPr>
      </w:pPr>
    </w:p>
    <w:p w:rsidR="0069222C" w:rsidRDefault="0069222C" w:rsidP="0069222C">
      <w:pPr>
        <w:rPr>
          <w:rFonts w:asciiTheme="majorBidi" w:hAnsiTheme="majorBidi" w:cstheme="majorBidi"/>
          <w:b/>
          <w:bCs/>
          <w:sz w:val="24"/>
          <w:szCs w:val="24"/>
        </w:rPr>
      </w:pPr>
    </w:p>
    <w:p w:rsidR="0069222C" w:rsidRDefault="0069222C" w:rsidP="0069222C">
      <w:pPr>
        <w:rPr>
          <w:rFonts w:asciiTheme="majorBidi" w:hAnsiTheme="majorBidi" w:cstheme="majorBidi"/>
          <w:b/>
          <w:bCs/>
          <w:sz w:val="24"/>
          <w:szCs w:val="24"/>
        </w:rPr>
      </w:pPr>
    </w:p>
    <w:p w:rsidR="0069222C" w:rsidRPr="000E5309" w:rsidRDefault="0069222C" w:rsidP="000E5309">
      <w:pPr>
        <w:pStyle w:val="ListParagraph"/>
        <w:numPr>
          <w:ilvl w:val="0"/>
          <w:numId w:val="1"/>
        </w:numPr>
        <w:rPr>
          <w:rFonts w:asciiTheme="majorBidi" w:hAnsiTheme="majorBidi" w:cstheme="majorBidi"/>
          <w:b/>
          <w:bCs/>
          <w:sz w:val="24"/>
          <w:szCs w:val="24"/>
        </w:rPr>
      </w:pPr>
      <w:r w:rsidRPr="000E5309">
        <w:rPr>
          <w:rFonts w:asciiTheme="majorBidi" w:hAnsiTheme="majorBidi" w:cstheme="majorBidi"/>
          <w:b/>
          <w:bCs/>
          <w:sz w:val="24"/>
          <w:szCs w:val="24"/>
        </w:rPr>
        <w:lastRenderedPageBreak/>
        <w:t>Les savoirs savants : la première source de légitimité des savoirs scolaires</w:t>
      </w:r>
    </w:p>
    <w:p w:rsidR="0069222C" w:rsidRPr="0016250D" w:rsidRDefault="0069222C" w:rsidP="0069222C">
      <w:pPr>
        <w:ind w:firstLine="708"/>
        <w:rPr>
          <w:rFonts w:asciiTheme="majorBidi" w:hAnsiTheme="majorBidi" w:cstheme="majorBidi"/>
          <w:sz w:val="24"/>
          <w:szCs w:val="24"/>
        </w:rPr>
      </w:pPr>
      <w:r w:rsidRPr="0016250D">
        <w:rPr>
          <w:rFonts w:asciiTheme="majorBidi" w:hAnsiTheme="majorBidi" w:cstheme="majorBidi"/>
          <w:sz w:val="24"/>
          <w:szCs w:val="24"/>
        </w:rPr>
        <w:t xml:space="preserve">En situation d’enseignement, la question essentielle que l’on se pose est liée à  la légitimité du savoir scolaires. Quels savoirs doit-on enseigner ? Et pourquoi, parmi les nombreux savoirs, on doit enseigner tel ou tel autre savoir ? Dans cette perspective, la légitimité du savoir est rattachée à sa reconnaissance sociale qui, dans les sociétés modernes, est puisée du statut de savoir dit savant qui lui est accordé.  </w:t>
      </w:r>
    </w:p>
    <w:p w:rsidR="0069222C" w:rsidRPr="0016250D" w:rsidRDefault="0069222C" w:rsidP="000E5309">
      <w:pPr>
        <w:ind w:firstLine="708"/>
        <w:jc w:val="both"/>
        <w:rPr>
          <w:rFonts w:asciiTheme="majorBidi" w:eastAsia="CMSY6" w:hAnsiTheme="majorBidi" w:cstheme="majorBidi"/>
          <w:sz w:val="24"/>
          <w:szCs w:val="24"/>
        </w:rPr>
      </w:pPr>
      <w:r w:rsidRPr="0016250D">
        <w:rPr>
          <w:rFonts w:asciiTheme="majorBidi" w:hAnsiTheme="majorBidi" w:cstheme="majorBidi"/>
          <w:sz w:val="24"/>
          <w:szCs w:val="24"/>
        </w:rPr>
        <w:t>Ainsi, la transposition didactique</w:t>
      </w:r>
      <w:r>
        <w:rPr>
          <w:rFonts w:asciiTheme="majorBidi" w:hAnsiTheme="majorBidi" w:cstheme="majorBidi"/>
          <w:sz w:val="24"/>
          <w:szCs w:val="24"/>
        </w:rPr>
        <w:t xml:space="preserve"> telle que proposée par Y. Chevallard</w:t>
      </w:r>
      <w:r w:rsidRPr="0016250D">
        <w:rPr>
          <w:rFonts w:asciiTheme="majorBidi" w:hAnsiTheme="majorBidi" w:cstheme="majorBidi"/>
          <w:sz w:val="24"/>
          <w:szCs w:val="24"/>
        </w:rPr>
        <w:t xml:space="preserve"> </w:t>
      </w:r>
      <w:r w:rsidRPr="0016250D">
        <w:rPr>
          <w:rFonts w:asciiTheme="majorBidi" w:eastAsia="CMSY6" w:hAnsiTheme="majorBidi" w:cstheme="majorBidi"/>
          <w:sz w:val="24"/>
          <w:szCs w:val="24"/>
        </w:rPr>
        <w:t>est considérée comme le processus qui permet l’élaboration du savoir scolaire à partir de savoirs de référence, notamment les savoirs</w:t>
      </w:r>
      <w:r>
        <w:rPr>
          <w:rFonts w:asciiTheme="majorBidi" w:eastAsia="CMSY6" w:hAnsiTheme="majorBidi" w:cstheme="majorBidi"/>
          <w:sz w:val="24"/>
          <w:szCs w:val="24"/>
        </w:rPr>
        <w:t xml:space="preserve"> </w:t>
      </w:r>
      <w:r w:rsidRPr="0016250D">
        <w:rPr>
          <w:rFonts w:asciiTheme="majorBidi" w:eastAsia="CMSY6" w:hAnsiTheme="majorBidi" w:cstheme="majorBidi"/>
          <w:sz w:val="24"/>
          <w:szCs w:val="24"/>
        </w:rPr>
        <w:t xml:space="preserve">savants propre à la communauté scientifique, </w:t>
      </w:r>
      <w:r>
        <w:rPr>
          <w:rFonts w:asciiTheme="majorBidi" w:eastAsia="CMSY6" w:hAnsiTheme="majorBidi" w:cstheme="majorBidi"/>
          <w:sz w:val="24"/>
          <w:szCs w:val="24"/>
        </w:rPr>
        <w:t xml:space="preserve">en l’occurrence </w:t>
      </w:r>
      <w:r w:rsidRPr="0016250D">
        <w:rPr>
          <w:rFonts w:asciiTheme="majorBidi" w:eastAsia="CMSY6" w:hAnsiTheme="majorBidi" w:cstheme="majorBidi"/>
          <w:sz w:val="24"/>
          <w:szCs w:val="24"/>
        </w:rPr>
        <w:t>élaborés dans les différents domaines de connaissances à trav</w:t>
      </w:r>
      <w:r w:rsidR="000E5309">
        <w:rPr>
          <w:rFonts w:asciiTheme="majorBidi" w:eastAsia="CMSY6" w:hAnsiTheme="majorBidi" w:cstheme="majorBidi"/>
          <w:sz w:val="24"/>
          <w:szCs w:val="24"/>
        </w:rPr>
        <w:t>ers la pratique de la recherche. Ce sont ces savoirs qui</w:t>
      </w:r>
      <w:r w:rsidRPr="0016250D">
        <w:rPr>
          <w:rFonts w:asciiTheme="majorBidi" w:eastAsia="CMSY6" w:hAnsiTheme="majorBidi" w:cstheme="majorBidi"/>
          <w:sz w:val="24"/>
          <w:szCs w:val="24"/>
        </w:rPr>
        <w:t xml:space="preserve"> </w:t>
      </w:r>
      <w:r w:rsidR="000E5309">
        <w:rPr>
          <w:rFonts w:asciiTheme="majorBidi" w:eastAsia="CMSY6" w:hAnsiTheme="majorBidi" w:cstheme="majorBidi"/>
          <w:sz w:val="24"/>
          <w:szCs w:val="24"/>
        </w:rPr>
        <w:t>constitue</w:t>
      </w:r>
      <w:r>
        <w:rPr>
          <w:rFonts w:asciiTheme="majorBidi" w:eastAsia="CMSY6" w:hAnsiTheme="majorBidi" w:cstheme="majorBidi"/>
          <w:sz w:val="24"/>
          <w:szCs w:val="24"/>
        </w:rPr>
        <w:t xml:space="preserve">nt </w:t>
      </w:r>
      <w:r w:rsidRPr="0016250D">
        <w:rPr>
          <w:rFonts w:asciiTheme="majorBidi" w:eastAsia="CMSY6" w:hAnsiTheme="majorBidi" w:cstheme="majorBidi"/>
          <w:sz w:val="24"/>
          <w:szCs w:val="24"/>
        </w:rPr>
        <w:t xml:space="preserve">la première source légitime des savoirs scolaires.  </w:t>
      </w:r>
    </w:p>
    <w:p w:rsidR="0069222C" w:rsidRPr="0016250D" w:rsidRDefault="0069222C" w:rsidP="0069222C">
      <w:pPr>
        <w:ind w:firstLine="708"/>
        <w:jc w:val="both"/>
        <w:rPr>
          <w:rFonts w:asciiTheme="majorBidi" w:eastAsia="CMSY6" w:hAnsiTheme="majorBidi" w:cstheme="majorBidi"/>
          <w:sz w:val="24"/>
          <w:szCs w:val="24"/>
        </w:rPr>
      </w:pPr>
      <w:r w:rsidRPr="0016250D">
        <w:rPr>
          <w:rFonts w:asciiTheme="majorBidi" w:eastAsia="CMSY6" w:hAnsiTheme="majorBidi" w:cstheme="majorBidi"/>
          <w:sz w:val="24"/>
          <w:szCs w:val="24"/>
        </w:rPr>
        <w:t>Le savoir savant est « construit et formalisé par un chercheur ou une équipe de recherche. Lorsqu’il est convoqué dans un écrit ou lors d’une conférence, il est toujours associé à son ou ses auteurs(s), à ses dates de publication, aux visées intellectuelles des personnes qui l’ont formalisé. »</w:t>
      </w:r>
      <w:r w:rsidRPr="0016250D">
        <w:rPr>
          <w:rStyle w:val="FootnoteReference"/>
          <w:rFonts w:asciiTheme="majorBidi" w:eastAsia="CMSY6" w:hAnsiTheme="majorBidi" w:cstheme="majorBidi"/>
          <w:sz w:val="24"/>
          <w:szCs w:val="24"/>
        </w:rPr>
        <w:footnoteReference w:id="3"/>
      </w:r>
      <w:r w:rsidRPr="0016250D">
        <w:rPr>
          <w:rFonts w:asciiTheme="majorBidi" w:eastAsia="CMSY6" w:hAnsiTheme="majorBidi" w:cstheme="majorBidi"/>
          <w:sz w:val="24"/>
          <w:szCs w:val="24"/>
        </w:rPr>
        <w:t xml:space="preserve"> </w:t>
      </w:r>
    </w:p>
    <w:p w:rsidR="0069222C" w:rsidRPr="000E5309" w:rsidRDefault="00FE0195" w:rsidP="000E5309">
      <w:pPr>
        <w:ind w:firstLine="708"/>
        <w:jc w:val="both"/>
        <w:rPr>
          <w:rFonts w:asciiTheme="majorBidi" w:eastAsia="CMSY6" w:hAnsiTheme="majorBidi" w:cstheme="majorBidi"/>
          <w:sz w:val="24"/>
          <w:szCs w:val="24"/>
        </w:rPr>
      </w:pPr>
      <w:r>
        <w:rPr>
          <w:rFonts w:asciiTheme="majorBidi" w:eastAsia="CMSY6" w:hAnsiTheme="majorBidi" w:cstheme="majorBidi"/>
          <w:sz w:val="24"/>
          <w:szCs w:val="24"/>
        </w:rPr>
        <w:t>Le savoir savant</w:t>
      </w:r>
      <w:r w:rsidR="0069222C" w:rsidRPr="0016250D">
        <w:rPr>
          <w:rFonts w:asciiTheme="majorBidi" w:eastAsia="CMSY6" w:hAnsiTheme="majorBidi" w:cstheme="majorBidi"/>
          <w:sz w:val="24"/>
          <w:szCs w:val="24"/>
        </w:rPr>
        <w:t xml:space="preserve"> </w:t>
      </w:r>
      <w:r w:rsidR="0069222C">
        <w:rPr>
          <w:rFonts w:asciiTheme="majorBidi" w:eastAsia="CMSY6" w:hAnsiTheme="majorBidi" w:cstheme="majorBidi"/>
          <w:sz w:val="24"/>
          <w:szCs w:val="24"/>
        </w:rPr>
        <w:t xml:space="preserve">ne peut pas être dispensé </w:t>
      </w:r>
      <w:r w:rsidR="0069222C" w:rsidRPr="0016250D">
        <w:rPr>
          <w:rFonts w:asciiTheme="majorBidi" w:eastAsia="CMSY6" w:hAnsiTheme="majorBidi" w:cstheme="majorBidi"/>
          <w:sz w:val="24"/>
          <w:szCs w:val="24"/>
        </w:rPr>
        <w:t xml:space="preserve">tel qu’il émane de la recherche. </w:t>
      </w:r>
      <w:r w:rsidR="000E5309">
        <w:rPr>
          <w:rFonts w:asciiTheme="majorBidi" w:eastAsia="CMSY6" w:hAnsiTheme="majorBidi" w:cstheme="majorBidi"/>
          <w:sz w:val="24"/>
          <w:szCs w:val="24"/>
        </w:rPr>
        <w:t>Il</w:t>
      </w:r>
      <w:r w:rsidR="0069222C" w:rsidRPr="0016250D">
        <w:rPr>
          <w:rFonts w:asciiTheme="majorBidi" w:eastAsia="CMSY6" w:hAnsiTheme="majorBidi" w:cstheme="majorBidi"/>
          <w:sz w:val="24"/>
          <w:szCs w:val="24"/>
        </w:rPr>
        <w:t xml:space="preserve"> doit subir de nombreuses transformations adaptatives qui modifient sa nature et permettent ainsi d’en faire un objet d’enseignement et d’apprentissage. C’est cette modification (transformations adaptatives) que Chevallard désigne sous l’appellation « transposition didactique »</w:t>
      </w:r>
      <w:r>
        <w:rPr>
          <w:rFonts w:asciiTheme="majorBidi" w:eastAsia="CMSY6" w:hAnsiTheme="majorBidi" w:cstheme="majorBidi"/>
          <w:sz w:val="24"/>
          <w:szCs w:val="24"/>
        </w:rPr>
        <w:t>. La transposition didactique</w:t>
      </w:r>
      <w:r w:rsidR="0069222C" w:rsidRPr="0016250D">
        <w:rPr>
          <w:rFonts w:asciiTheme="majorBidi" w:eastAsia="CMSY6" w:hAnsiTheme="majorBidi" w:cstheme="majorBidi"/>
          <w:sz w:val="24"/>
          <w:szCs w:val="24"/>
        </w:rPr>
        <w:t xml:space="preserve"> </w:t>
      </w:r>
      <w:r w:rsidR="0069222C">
        <w:rPr>
          <w:rFonts w:asciiTheme="majorBidi" w:eastAsia="CMSY6" w:hAnsiTheme="majorBidi" w:cstheme="majorBidi"/>
          <w:sz w:val="24"/>
          <w:szCs w:val="24"/>
        </w:rPr>
        <w:t>assure</w:t>
      </w:r>
      <w:r>
        <w:rPr>
          <w:rFonts w:asciiTheme="majorBidi" w:eastAsia="CMSY6" w:hAnsiTheme="majorBidi" w:cstheme="majorBidi"/>
          <w:sz w:val="24"/>
          <w:szCs w:val="24"/>
        </w:rPr>
        <w:t xml:space="preserve"> donc</w:t>
      </w:r>
      <w:r w:rsidR="0069222C" w:rsidRPr="0016250D">
        <w:rPr>
          <w:rFonts w:asciiTheme="majorBidi" w:eastAsia="CMSY6" w:hAnsiTheme="majorBidi" w:cstheme="majorBidi"/>
          <w:sz w:val="24"/>
          <w:szCs w:val="24"/>
        </w:rPr>
        <w:t xml:space="preserve"> la circulation du savoir entre deux sphères institutionnelles différentes : la sphère de production initiale et la sphère de type pédagogique et scolaire.  </w:t>
      </w:r>
    </w:p>
    <w:p w:rsidR="0069222C" w:rsidRPr="000E5309" w:rsidRDefault="0069222C" w:rsidP="000E5309">
      <w:pPr>
        <w:pStyle w:val="ListParagraph"/>
        <w:numPr>
          <w:ilvl w:val="0"/>
          <w:numId w:val="1"/>
        </w:numPr>
        <w:rPr>
          <w:rFonts w:asciiTheme="majorBidi" w:eastAsia="CMSY6" w:hAnsiTheme="majorBidi" w:cstheme="majorBidi"/>
          <w:b/>
          <w:bCs/>
          <w:sz w:val="24"/>
          <w:szCs w:val="24"/>
        </w:rPr>
      </w:pPr>
      <w:r w:rsidRPr="000E5309">
        <w:rPr>
          <w:rFonts w:asciiTheme="majorBidi" w:eastAsia="CMSY6" w:hAnsiTheme="majorBidi" w:cstheme="majorBidi"/>
          <w:b/>
          <w:bCs/>
          <w:sz w:val="24"/>
          <w:szCs w:val="24"/>
        </w:rPr>
        <w:t>Les pratiques sociales de référence (PSR)</w:t>
      </w:r>
    </w:p>
    <w:p w:rsidR="0069222C" w:rsidRPr="0016250D" w:rsidRDefault="0069222C" w:rsidP="0069222C">
      <w:pPr>
        <w:autoSpaceDE w:val="0"/>
        <w:autoSpaceDN w:val="0"/>
        <w:adjustRightInd w:val="0"/>
        <w:spacing w:after="0"/>
        <w:ind w:firstLine="708"/>
        <w:rPr>
          <w:rFonts w:asciiTheme="majorBidi" w:hAnsiTheme="majorBidi" w:cstheme="majorBidi"/>
          <w:sz w:val="24"/>
          <w:szCs w:val="24"/>
          <w:lang w:eastAsia="fr-FR"/>
        </w:rPr>
      </w:pPr>
      <w:r w:rsidRPr="0016250D">
        <w:rPr>
          <w:rFonts w:asciiTheme="majorBidi" w:eastAsia="CMSY6" w:hAnsiTheme="majorBidi" w:cstheme="majorBidi"/>
          <w:sz w:val="24"/>
          <w:szCs w:val="24"/>
        </w:rPr>
        <w:t>La question de la définition de la notion de transposition didactique se pose sérieusement dans certaines disciplines scolaires où d’autres sources du savoir</w:t>
      </w:r>
      <w:r>
        <w:rPr>
          <w:rFonts w:asciiTheme="majorBidi" w:eastAsia="CMSY6" w:hAnsiTheme="majorBidi" w:cstheme="majorBidi"/>
          <w:sz w:val="24"/>
          <w:szCs w:val="24"/>
        </w:rPr>
        <w:t xml:space="preserve"> utile</w:t>
      </w:r>
      <w:r w:rsidRPr="0016250D">
        <w:rPr>
          <w:rFonts w:asciiTheme="majorBidi" w:eastAsia="CMSY6" w:hAnsiTheme="majorBidi" w:cstheme="majorBidi"/>
          <w:sz w:val="24"/>
          <w:szCs w:val="24"/>
        </w:rPr>
        <w:t>, autres que les savoirs savants, sont convoquées. Ainsi, certain</w:t>
      </w:r>
      <w:r>
        <w:rPr>
          <w:rFonts w:asciiTheme="majorBidi" w:eastAsia="CMSY6" w:hAnsiTheme="majorBidi" w:cstheme="majorBidi"/>
          <w:sz w:val="24"/>
          <w:szCs w:val="24"/>
        </w:rPr>
        <w:t>e</w:t>
      </w:r>
      <w:r w:rsidRPr="0016250D">
        <w:rPr>
          <w:rFonts w:asciiTheme="majorBidi" w:eastAsia="CMSY6" w:hAnsiTheme="majorBidi" w:cstheme="majorBidi"/>
          <w:sz w:val="24"/>
          <w:szCs w:val="24"/>
        </w:rPr>
        <w:t xml:space="preserve">s </w:t>
      </w:r>
      <w:r>
        <w:rPr>
          <w:rFonts w:asciiTheme="majorBidi" w:eastAsia="CMSY6" w:hAnsiTheme="majorBidi" w:cstheme="majorBidi"/>
          <w:sz w:val="24"/>
          <w:szCs w:val="24"/>
        </w:rPr>
        <w:t>disciplines</w:t>
      </w:r>
      <w:r w:rsidRPr="0016250D">
        <w:rPr>
          <w:rFonts w:asciiTheme="majorBidi" w:eastAsia="CMSY6" w:hAnsiTheme="majorBidi" w:cstheme="majorBidi"/>
          <w:sz w:val="24"/>
          <w:szCs w:val="24"/>
        </w:rPr>
        <w:t>, comme l’éducation physique et sportive, les savoirs ne découlent d’aucun savoir scientifique de référence. Aussi, d’autres disciplines comme les langues étrangères et secondes ne se réduisent pas</w:t>
      </w:r>
      <w:r w:rsidRPr="0016250D">
        <w:rPr>
          <w:rFonts w:asciiTheme="majorBidi" w:hAnsiTheme="majorBidi" w:cstheme="majorBidi"/>
          <w:sz w:val="24"/>
          <w:szCs w:val="24"/>
          <w:lang w:eastAsia="fr-FR"/>
        </w:rPr>
        <w:t xml:space="preserve"> aux seuls savoirs savants et privilégient</w:t>
      </w:r>
      <w:r w:rsidRPr="0016250D">
        <w:rPr>
          <w:rFonts w:asciiTheme="majorBidi" w:eastAsia="CMSY6" w:hAnsiTheme="majorBidi" w:cstheme="majorBidi"/>
          <w:sz w:val="24"/>
          <w:szCs w:val="24"/>
        </w:rPr>
        <w:t xml:space="preserve"> d’autres sources du savoir comme savoir-faire (les habilités) et des savoirs être (les attitudes, les valeurs, etc.) liés aux connaissances à apprendre. </w:t>
      </w:r>
    </w:p>
    <w:p w:rsidR="0069222C" w:rsidRPr="0016250D" w:rsidRDefault="0069222C" w:rsidP="0069222C">
      <w:pPr>
        <w:autoSpaceDE w:val="0"/>
        <w:autoSpaceDN w:val="0"/>
        <w:adjustRightInd w:val="0"/>
        <w:spacing w:after="0"/>
        <w:ind w:firstLine="708"/>
        <w:rPr>
          <w:rFonts w:asciiTheme="majorBidi" w:hAnsiTheme="majorBidi" w:cstheme="majorBidi"/>
          <w:sz w:val="24"/>
          <w:szCs w:val="24"/>
          <w:lang w:eastAsia="fr-FR"/>
        </w:rPr>
      </w:pPr>
    </w:p>
    <w:p w:rsidR="0069222C" w:rsidRPr="0016250D" w:rsidRDefault="0069222C" w:rsidP="0069222C">
      <w:pPr>
        <w:ind w:firstLine="708"/>
        <w:rPr>
          <w:rFonts w:asciiTheme="majorBidi" w:eastAsia="CMSY6" w:hAnsiTheme="majorBidi" w:cstheme="majorBidi"/>
          <w:sz w:val="24"/>
          <w:szCs w:val="24"/>
        </w:rPr>
      </w:pPr>
      <w:r w:rsidRPr="0016250D">
        <w:rPr>
          <w:rFonts w:asciiTheme="majorBidi" w:eastAsia="CMSY6" w:hAnsiTheme="majorBidi" w:cstheme="majorBidi"/>
          <w:sz w:val="24"/>
          <w:szCs w:val="24"/>
        </w:rPr>
        <w:t>C’est dans cette optique que des notions complémentaires furent introduites par d’autres didacticiens, attestant que le savoir savant n’est pas l’unique source des savoirs scolaires.</w:t>
      </w:r>
      <w:r>
        <w:rPr>
          <w:rFonts w:asciiTheme="majorBidi" w:eastAsia="CMSY6" w:hAnsiTheme="majorBidi" w:cstheme="majorBidi"/>
          <w:sz w:val="24"/>
          <w:szCs w:val="24"/>
        </w:rPr>
        <w:t xml:space="preserve"> Ainsi, ces notions permettent de définir d’une manière élargie ce qui préexiste au processus de transposition didactique</w:t>
      </w:r>
      <w:r>
        <w:rPr>
          <w:rStyle w:val="FootnoteReference"/>
          <w:rFonts w:asciiTheme="majorBidi" w:eastAsia="CMSY6" w:hAnsiTheme="majorBidi" w:cstheme="majorBidi"/>
          <w:sz w:val="24"/>
          <w:szCs w:val="24"/>
        </w:rPr>
        <w:footnoteReference w:id="4"/>
      </w:r>
      <w:r>
        <w:rPr>
          <w:rFonts w:asciiTheme="majorBidi" w:eastAsia="CMSY6" w:hAnsiTheme="majorBidi" w:cstheme="majorBidi"/>
          <w:sz w:val="24"/>
          <w:szCs w:val="24"/>
        </w:rPr>
        <w:t xml:space="preserve">.  </w:t>
      </w:r>
      <w:r w:rsidRPr="0016250D">
        <w:rPr>
          <w:rFonts w:asciiTheme="majorBidi" w:eastAsia="CMSY6" w:hAnsiTheme="majorBidi" w:cstheme="majorBidi"/>
          <w:sz w:val="24"/>
          <w:szCs w:val="24"/>
        </w:rPr>
        <w:t xml:space="preserve">  </w:t>
      </w:r>
    </w:p>
    <w:p w:rsidR="0069222C" w:rsidRPr="0016250D" w:rsidRDefault="0069222C" w:rsidP="0069222C">
      <w:pPr>
        <w:autoSpaceDE w:val="0"/>
        <w:autoSpaceDN w:val="0"/>
        <w:adjustRightInd w:val="0"/>
        <w:spacing w:after="0"/>
        <w:rPr>
          <w:rFonts w:asciiTheme="majorBidi" w:hAnsiTheme="majorBidi" w:cstheme="majorBidi"/>
          <w:sz w:val="24"/>
          <w:szCs w:val="24"/>
        </w:rPr>
      </w:pPr>
      <w:r w:rsidRPr="0016250D">
        <w:rPr>
          <w:rFonts w:asciiTheme="majorBidi" w:eastAsia="CMSY6" w:hAnsiTheme="majorBidi" w:cstheme="majorBidi"/>
          <w:b/>
          <w:bCs/>
          <w:sz w:val="24"/>
          <w:szCs w:val="24"/>
        </w:rPr>
        <w:t xml:space="preserve">- </w:t>
      </w:r>
      <w:r>
        <w:rPr>
          <w:rFonts w:asciiTheme="majorBidi" w:eastAsia="CMSY6" w:hAnsiTheme="majorBidi" w:cstheme="majorBidi"/>
          <w:sz w:val="24"/>
          <w:szCs w:val="24"/>
        </w:rPr>
        <w:t>L</w:t>
      </w:r>
      <w:r w:rsidRPr="0016250D">
        <w:rPr>
          <w:rFonts w:asciiTheme="majorBidi" w:eastAsia="CMSY6" w:hAnsiTheme="majorBidi" w:cstheme="majorBidi"/>
          <w:sz w:val="24"/>
          <w:szCs w:val="24"/>
        </w:rPr>
        <w:t xml:space="preserve">a notion  de </w:t>
      </w:r>
      <w:r w:rsidRPr="000D12E8">
        <w:rPr>
          <w:rFonts w:asciiTheme="majorBidi" w:eastAsia="CMSY6" w:hAnsiTheme="majorBidi" w:cstheme="majorBidi"/>
          <w:b/>
          <w:bCs/>
          <w:i/>
          <w:iCs/>
          <w:sz w:val="24"/>
          <w:szCs w:val="24"/>
        </w:rPr>
        <w:t>pratiques sociales de référence</w:t>
      </w:r>
      <w:r w:rsidRPr="00882A88">
        <w:rPr>
          <w:rStyle w:val="FootnoteReference"/>
          <w:rFonts w:asciiTheme="majorBidi" w:eastAsia="CMSY6" w:hAnsiTheme="majorBidi" w:cstheme="majorBidi"/>
          <w:b/>
          <w:bCs/>
          <w:sz w:val="24"/>
          <w:szCs w:val="24"/>
        </w:rPr>
        <w:footnoteReference w:id="5"/>
      </w:r>
      <w:r w:rsidRPr="00882A88">
        <w:rPr>
          <w:rFonts w:asciiTheme="majorBidi" w:eastAsia="CMSY6" w:hAnsiTheme="majorBidi" w:cstheme="majorBidi"/>
          <w:sz w:val="24"/>
          <w:szCs w:val="24"/>
        </w:rPr>
        <w:t xml:space="preserve"> </w:t>
      </w:r>
      <w:r w:rsidRPr="0016250D">
        <w:rPr>
          <w:rFonts w:asciiTheme="majorBidi" w:eastAsia="CMSY6" w:hAnsiTheme="majorBidi" w:cstheme="majorBidi"/>
          <w:sz w:val="24"/>
          <w:szCs w:val="24"/>
        </w:rPr>
        <w:t xml:space="preserve">a été élaborée en 1996 par Jean-Louis Martinand, didacticien de la physique, </w:t>
      </w:r>
      <w:r w:rsidRPr="0016250D">
        <w:rPr>
          <w:rFonts w:asciiTheme="majorBidi" w:hAnsiTheme="majorBidi" w:cstheme="majorBidi"/>
          <w:sz w:val="24"/>
          <w:szCs w:val="24"/>
        </w:rPr>
        <w:t xml:space="preserve">dans le contexte de la transposition didactique.  Cette </w:t>
      </w:r>
      <w:r w:rsidRPr="0016250D">
        <w:rPr>
          <w:rFonts w:asciiTheme="majorBidi" w:hAnsiTheme="majorBidi" w:cstheme="majorBidi"/>
          <w:sz w:val="24"/>
          <w:szCs w:val="24"/>
        </w:rPr>
        <w:lastRenderedPageBreak/>
        <w:t xml:space="preserve">notion convient à de nombreuses disciplines ancrées sur la pratique : les disciplines linguistiques ou artistiques, les langues étrangères, les travaux manuels, l’éducation physique et sportive, les disciplines technologiques professionnelles. </w:t>
      </w:r>
    </w:p>
    <w:p w:rsidR="0069222C" w:rsidRPr="00F8313C" w:rsidRDefault="0069222C" w:rsidP="0069222C">
      <w:pPr>
        <w:rPr>
          <w:rFonts w:asciiTheme="majorBidi" w:eastAsia="CMSY6" w:hAnsiTheme="majorBidi" w:cstheme="majorBidi"/>
          <w:b/>
          <w:bCs/>
          <w:sz w:val="24"/>
          <w:szCs w:val="24"/>
        </w:rPr>
      </w:pPr>
      <w:r w:rsidRPr="000D6AD9">
        <w:rPr>
          <w:rFonts w:asciiTheme="majorBidi" w:eastAsia="CMSY6" w:hAnsiTheme="majorBidi" w:cstheme="majorBidi"/>
          <w:b/>
          <w:bCs/>
          <w:sz w:val="24"/>
          <w:szCs w:val="24"/>
        </w:rPr>
        <w:t xml:space="preserve">     </w:t>
      </w:r>
    </w:p>
    <w:p w:rsidR="0069222C" w:rsidRPr="000E5309" w:rsidRDefault="0069222C" w:rsidP="000E5309">
      <w:pPr>
        <w:pStyle w:val="ListParagraph"/>
        <w:numPr>
          <w:ilvl w:val="0"/>
          <w:numId w:val="1"/>
        </w:numPr>
        <w:rPr>
          <w:rFonts w:asciiTheme="majorBidi" w:eastAsia="CMSY6" w:hAnsiTheme="majorBidi" w:cstheme="majorBidi"/>
          <w:b/>
          <w:bCs/>
          <w:sz w:val="24"/>
          <w:szCs w:val="24"/>
        </w:rPr>
      </w:pPr>
      <w:r w:rsidRPr="000E5309">
        <w:rPr>
          <w:rFonts w:asciiTheme="majorBidi" w:eastAsia="CMSY6" w:hAnsiTheme="majorBidi" w:cstheme="majorBidi"/>
          <w:b/>
          <w:bCs/>
          <w:sz w:val="24"/>
          <w:szCs w:val="24"/>
        </w:rPr>
        <w:t xml:space="preserve">Deux niveaux de la transposition didactique : externe et interne </w:t>
      </w:r>
    </w:p>
    <w:p w:rsidR="0069222C" w:rsidRPr="000E5309" w:rsidRDefault="0069222C" w:rsidP="000E5309">
      <w:pPr>
        <w:pStyle w:val="ListParagraph"/>
        <w:numPr>
          <w:ilvl w:val="0"/>
          <w:numId w:val="2"/>
        </w:numPr>
        <w:autoSpaceDE w:val="0"/>
        <w:autoSpaceDN w:val="0"/>
        <w:adjustRightInd w:val="0"/>
        <w:spacing w:after="0"/>
        <w:rPr>
          <w:rFonts w:asciiTheme="majorBidi" w:eastAsia="CMSY6" w:hAnsiTheme="majorBidi" w:cstheme="majorBidi"/>
          <w:b/>
          <w:bCs/>
          <w:sz w:val="24"/>
          <w:szCs w:val="24"/>
        </w:rPr>
      </w:pPr>
      <w:r w:rsidRPr="000E5309">
        <w:rPr>
          <w:rFonts w:asciiTheme="majorBidi" w:eastAsia="CMSY6" w:hAnsiTheme="majorBidi" w:cstheme="majorBidi"/>
          <w:b/>
          <w:bCs/>
          <w:sz w:val="24"/>
          <w:szCs w:val="24"/>
        </w:rPr>
        <w:t>La transposition didactique externe : la construction du « </w:t>
      </w:r>
      <w:r w:rsidRPr="000E5309">
        <w:rPr>
          <w:rFonts w:asciiTheme="majorBidi" w:eastAsia="CMSY6" w:hAnsiTheme="majorBidi" w:cstheme="majorBidi"/>
          <w:b/>
          <w:bCs/>
          <w:i/>
          <w:iCs/>
          <w:sz w:val="24"/>
          <w:szCs w:val="24"/>
        </w:rPr>
        <w:t>savoir à enseigner »</w:t>
      </w:r>
      <w:r w:rsidRPr="000E5309">
        <w:rPr>
          <w:rFonts w:asciiTheme="majorBidi" w:eastAsia="CMSY6" w:hAnsiTheme="majorBidi" w:cstheme="majorBidi"/>
          <w:b/>
          <w:bCs/>
          <w:sz w:val="24"/>
          <w:szCs w:val="24"/>
        </w:rPr>
        <w:t xml:space="preserve">  </w:t>
      </w:r>
    </w:p>
    <w:p w:rsidR="0069222C" w:rsidRPr="0016250D" w:rsidRDefault="0069222C" w:rsidP="0069222C">
      <w:pPr>
        <w:autoSpaceDE w:val="0"/>
        <w:autoSpaceDN w:val="0"/>
        <w:adjustRightInd w:val="0"/>
        <w:spacing w:after="0"/>
        <w:ind w:firstLine="708"/>
        <w:rPr>
          <w:rFonts w:asciiTheme="majorBidi" w:eastAsia="CMSY6" w:hAnsiTheme="majorBidi" w:cstheme="majorBidi"/>
          <w:sz w:val="24"/>
          <w:szCs w:val="24"/>
        </w:rPr>
      </w:pPr>
    </w:p>
    <w:p w:rsidR="0069222C" w:rsidRPr="0016250D" w:rsidRDefault="0069222C" w:rsidP="0069222C">
      <w:pPr>
        <w:autoSpaceDE w:val="0"/>
        <w:autoSpaceDN w:val="0"/>
        <w:adjustRightInd w:val="0"/>
        <w:spacing w:after="0"/>
        <w:ind w:firstLine="708"/>
        <w:rPr>
          <w:rFonts w:asciiTheme="majorBidi" w:eastAsia="CMSY6" w:hAnsiTheme="majorBidi" w:cstheme="majorBidi"/>
          <w:sz w:val="24"/>
          <w:szCs w:val="24"/>
        </w:rPr>
      </w:pPr>
      <w:r w:rsidRPr="0016250D">
        <w:rPr>
          <w:rFonts w:asciiTheme="majorBidi" w:eastAsia="CMSY6" w:hAnsiTheme="majorBidi" w:cstheme="majorBidi"/>
          <w:sz w:val="24"/>
          <w:szCs w:val="24"/>
        </w:rPr>
        <w:t xml:space="preserve">Lorsque le processus conduit des savoirs savants à la construction de </w:t>
      </w:r>
      <w:r w:rsidRPr="0016250D">
        <w:rPr>
          <w:rFonts w:asciiTheme="majorBidi" w:eastAsia="CMSY6" w:hAnsiTheme="majorBidi" w:cstheme="majorBidi"/>
          <w:i/>
          <w:iCs/>
          <w:sz w:val="24"/>
          <w:szCs w:val="24"/>
        </w:rPr>
        <w:t>savoirs à enseigner</w:t>
      </w:r>
      <w:r w:rsidRPr="0016250D">
        <w:rPr>
          <w:rFonts w:asciiTheme="majorBidi" w:hAnsiTheme="majorBidi" w:cstheme="majorBidi"/>
          <w:i/>
          <w:iCs/>
          <w:sz w:val="24"/>
          <w:szCs w:val="24"/>
        </w:rPr>
        <w:t>,</w:t>
      </w:r>
      <w:r w:rsidRPr="0016250D">
        <w:rPr>
          <w:rFonts w:asciiTheme="majorBidi" w:eastAsia="CMSY6" w:hAnsiTheme="majorBidi" w:cstheme="majorBidi"/>
          <w:sz w:val="24"/>
          <w:szCs w:val="24"/>
        </w:rPr>
        <w:t xml:space="preserve"> la transposition didactique est appelée </w:t>
      </w:r>
      <w:r w:rsidRPr="0069222C">
        <w:rPr>
          <w:rFonts w:asciiTheme="majorBidi" w:eastAsia="CMSY6" w:hAnsiTheme="majorBidi" w:cstheme="majorBidi"/>
          <w:b/>
          <w:bCs/>
          <w:sz w:val="24"/>
          <w:szCs w:val="24"/>
        </w:rPr>
        <w:t>externe ou ascendante</w:t>
      </w:r>
      <w:r>
        <w:rPr>
          <w:rFonts w:asciiTheme="majorBidi" w:eastAsia="CMSY6" w:hAnsiTheme="majorBidi" w:cstheme="majorBidi"/>
          <w:sz w:val="24"/>
          <w:szCs w:val="24"/>
        </w:rPr>
        <w:t>,</w:t>
      </w:r>
      <w:r w:rsidRPr="0016250D">
        <w:rPr>
          <w:rFonts w:asciiTheme="majorBidi" w:eastAsia="CMSY6" w:hAnsiTheme="majorBidi" w:cstheme="majorBidi"/>
          <w:sz w:val="24"/>
          <w:szCs w:val="24"/>
        </w:rPr>
        <w:t xml:space="preserve"> car elle se réalise hors du système didactique, hors de la classe.  </w:t>
      </w:r>
    </w:p>
    <w:p w:rsidR="0069222C" w:rsidRDefault="0069222C" w:rsidP="0069222C">
      <w:pPr>
        <w:autoSpaceDE w:val="0"/>
        <w:autoSpaceDN w:val="0"/>
        <w:adjustRightInd w:val="0"/>
        <w:spacing w:after="0"/>
        <w:ind w:firstLine="708"/>
        <w:rPr>
          <w:rFonts w:asciiTheme="majorBidi" w:eastAsia="CMSY6" w:hAnsiTheme="majorBidi" w:cstheme="majorBidi"/>
          <w:sz w:val="24"/>
          <w:szCs w:val="24"/>
        </w:rPr>
      </w:pPr>
    </w:p>
    <w:p w:rsidR="0069222C" w:rsidRDefault="0069222C" w:rsidP="0069222C">
      <w:pPr>
        <w:autoSpaceDE w:val="0"/>
        <w:autoSpaceDN w:val="0"/>
        <w:adjustRightInd w:val="0"/>
        <w:spacing w:after="0"/>
        <w:ind w:firstLine="708"/>
        <w:rPr>
          <w:rFonts w:asciiTheme="majorBidi" w:eastAsia="CMSY6" w:hAnsiTheme="majorBidi" w:cstheme="majorBidi"/>
          <w:sz w:val="24"/>
          <w:szCs w:val="24"/>
        </w:rPr>
      </w:pPr>
      <w:r w:rsidRPr="0016250D">
        <w:rPr>
          <w:rFonts w:asciiTheme="majorBidi" w:eastAsia="CMSY6" w:hAnsiTheme="majorBidi" w:cstheme="majorBidi"/>
          <w:sz w:val="24"/>
          <w:szCs w:val="24"/>
        </w:rPr>
        <w:t xml:space="preserve">Cette transposition didactique externe est liée à l’action </w:t>
      </w:r>
      <w:r>
        <w:rPr>
          <w:rFonts w:asciiTheme="majorBidi" w:eastAsia="CMSY6" w:hAnsiTheme="majorBidi" w:cstheme="majorBidi"/>
          <w:sz w:val="24"/>
          <w:szCs w:val="24"/>
        </w:rPr>
        <w:t xml:space="preserve">d’un acteur social collectif que </w:t>
      </w:r>
      <w:r w:rsidRPr="0016250D">
        <w:rPr>
          <w:rFonts w:asciiTheme="majorBidi" w:eastAsia="CMSY6" w:hAnsiTheme="majorBidi" w:cstheme="majorBidi"/>
          <w:sz w:val="24"/>
          <w:szCs w:val="24"/>
        </w:rPr>
        <w:t xml:space="preserve">Chevallard </w:t>
      </w:r>
      <w:r>
        <w:rPr>
          <w:rFonts w:asciiTheme="majorBidi" w:eastAsia="CMSY6" w:hAnsiTheme="majorBidi" w:cstheme="majorBidi"/>
          <w:sz w:val="24"/>
          <w:szCs w:val="24"/>
        </w:rPr>
        <w:t xml:space="preserve">nomme la « noosphère ». Celle-ci est </w:t>
      </w:r>
      <w:r w:rsidRPr="0016250D">
        <w:rPr>
          <w:rFonts w:asciiTheme="majorBidi" w:eastAsia="CMSY6" w:hAnsiTheme="majorBidi" w:cstheme="majorBidi"/>
          <w:sz w:val="24"/>
          <w:szCs w:val="24"/>
        </w:rPr>
        <w:t>constituée de l’e</w:t>
      </w:r>
      <w:r>
        <w:rPr>
          <w:rFonts w:asciiTheme="majorBidi" w:eastAsia="CMSY6" w:hAnsiTheme="majorBidi" w:cstheme="majorBidi"/>
          <w:sz w:val="24"/>
          <w:szCs w:val="24"/>
        </w:rPr>
        <w:t>nsemble des acteurs intervenant</w:t>
      </w:r>
      <w:r w:rsidRPr="0016250D">
        <w:rPr>
          <w:rFonts w:asciiTheme="majorBidi" w:eastAsia="CMSY6" w:hAnsiTheme="majorBidi" w:cstheme="majorBidi"/>
          <w:sz w:val="24"/>
          <w:szCs w:val="24"/>
        </w:rPr>
        <w:t xml:space="preserve"> à l’intersection du système d’enseignement et de la société qui, souvent,  ont des intérêts divergents et parfois contradictoires. Il s’agit (notamment – et surtout- les parents, les savants, l’i</w:t>
      </w:r>
      <w:r>
        <w:rPr>
          <w:rFonts w:asciiTheme="majorBidi" w:eastAsia="CMSY6" w:hAnsiTheme="majorBidi" w:cstheme="majorBidi"/>
          <w:sz w:val="24"/>
          <w:szCs w:val="24"/>
        </w:rPr>
        <w:t>nstance politique décisionnelle)</w:t>
      </w:r>
      <w:r>
        <w:rPr>
          <w:rStyle w:val="FootnoteReference"/>
          <w:rFonts w:asciiTheme="majorBidi" w:eastAsia="CMSY6" w:hAnsiTheme="majorBidi" w:cstheme="majorBidi"/>
          <w:sz w:val="24"/>
          <w:szCs w:val="24"/>
        </w:rPr>
        <w:footnoteReference w:id="6"/>
      </w:r>
      <w:r w:rsidRPr="0016250D">
        <w:rPr>
          <w:rStyle w:val="FootnoteReference"/>
          <w:rFonts w:asciiTheme="majorBidi" w:eastAsia="CMSY6" w:hAnsiTheme="majorBidi" w:cstheme="majorBidi"/>
          <w:sz w:val="24"/>
          <w:szCs w:val="24"/>
        </w:rPr>
        <w:footnoteReference w:id="7"/>
      </w:r>
      <w:r w:rsidRPr="0016250D">
        <w:rPr>
          <w:rFonts w:asciiTheme="majorBidi" w:eastAsia="CMSY6" w:hAnsiTheme="majorBidi" w:cstheme="majorBidi"/>
          <w:sz w:val="24"/>
          <w:szCs w:val="24"/>
        </w:rPr>
        <w:t xml:space="preserve">qui élaborent ce </w:t>
      </w:r>
      <w:r w:rsidRPr="0016250D">
        <w:rPr>
          <w:rFonts w:asciiTheme="majorBidi" w:hAnsiTheme="majorBidi" w:cstheme="majorBidi"/>
          <w:sz w:val="24"/>
          <w:szCs w:val="24"/>
        </w:rPr>
        <w:t>curriculum formel en pensant à un élève et  à un professeur abstraits.</w:t>
      </w:r>
      <w:r w:rsidRPr="0016250D">
        <w:rPr>
          <w:rFonts w:asciiTheme="majorBidi" w:eastAsia="CMSY6" w:hAnsiTheme="majorBidi" w:cstheme="majorBidi"/>
          <w:sz w:val="24"/>
          <w:szCs w:val="24"/>
        </w:rPr>
        <w:t xml:space="preserve">  </w:t>
      </w:r>
    </w:p>
    <w:p w:rsidR="0069222C" w:rsidRDefault="0069222C" w:rsidP="0069222C">
      <w:pPr>
        <w:autoSpaceDE w:val="0"/>
        <w:autoSpaceDN w:val="0"/>
        <w:adjustRightInd w:val="0"/>
        <w:spacing w:after="0"/>
        <w:ind w:firstLine="708"/>
        <w:rPr>
          <w:rFonts w:asciiTheme="majorBidi" w:eastAsia="CMSY6" w:hAnsiTheme="majorBidi" w:cstheme="majorBidi"/>
          <w:sz w:val="24"/>
          <w:szCs w:val="24"/>
        </w:rPr>
      </w:pPr>
    </w:p>
    <w:p w:rsidR="0069222C" w:rsidRDefault="0069222C" w:rsidP="0069222C">
      <w:pPr>
        <w:autoSpaceDE w:val="0"/>
        <w:autoSpaceDN w:val="0"/>
        <w:adjustRightInd w:val="0"/>
        <w:spacing w:after="0"/>
        <w:ind w:firstLine="708"/>
        <w:rPr>
          <w:rFonts w:asciiTheme="majorBidi" w:eastAsia="CMSY6" w:hAnsiTheme="majorBidi" w:cstheme="majorBidi"/>
          <w:sz w:val="24"/>
          <w:szCs w:val="24"/>
        </w:rPr>
      </w:pPr>
      <w:r>
        <w:rPr>
          <w:rFonts w:asciiTheme="majorBidi" w:eastAsia="CMSY6" w:hAnsiTheme="majorBidi" w:cstheme="majorBidi"/>
          <w:sz w:val="24"/>
          <w:szCs w:val="24"/>
        </w:rPr>
        <w:t>C’est donc à ce niveau que va s’accomplir le choix des références théoriques qui doivent sélectionnées en fonction de leur validité intrinsèque et par leur pertinence eu égard aux objectifs des programmes de formation et des buts poursuivis par le système éducatif</w:t>
      </w:r>
      <w:r>
        <w:rPr>
          <w:rStyle w:val="FootnoteReference"/>
          <w:rFonts w:asciiTheme="majorBidi" w:eastAsia="CMSY6" w:hAnsiTheme="majorBidi" w:cstheme="majorBidi"/>
          <w:sz w:val="24"/>
          <w:szCs w:val="24"/>
        </w:rPr>
        <w:footnoteReference w:id="8"/>
      </w:r>
      <w:r>
        <w:rPr>
          <w:rFonts w:asciiTheme="majorBidi" w:eastAsia="CMSY6" w:hAnsiTheme="majorBidi" w:cstheme="majorBidi"/>
          <w:sz w:val="24"/>
          <w:szCs w:val="24"/>
        </w:rPr>
        <w:t xml:space="preserve">. Ces savoirs vont subir des transformations (découpés, reformulés et organises) pour être incorporés dans les différents documents pédagogiques élaborés par un système d’enseignement (programmes, manuels, fiches, etc.) sous une forme qui répond à la logique d’organisation des savoirs scolaires. C’est ainsi, qu’ils deviennent </w:t>
      </w:r>
      <w:r w:rsidRPr="00772C74">
        <w:rPr>
          <w:rFonts w:asciiTheme="majorBidi" w:eastAsia="CMSY6" w:hAnsiTheme="majorBidi" w:cstheme="majorBidi"/>
          <w:i/>
          <w:iCs/>
          <w:sz w:val="24"/>
          <w:szCs w:val="24"/>
        </w:rPr>
        <w:t>des savoirs à enseigner</w:t>
      </w:r>
      <w:r>
        <w:rPr>
          <w:rFonts w:asciiTheme="majorBidi" w:eastAsia="CMSY6" w:hAnsiTheme="majorBidi" w:cstheme="majorBidi"/>
          <w:sz w:val="24"/>
          <w:szCs w:val="24"/>
        </w:rPr>
        <w:t xml:space="preserve">. </w:t>
      </w:r>
    </w:p>
    <w:p w:rsidR="0069222C" w:rsidRPr="00D3330A" w:rsidRDefault="0069222C" w:rsidP="0069222C">
      <w:pPr>
        <w:autoSpaceDE w:val="0"/>
        <w:autoSpaceDN w:val="0"/>
        <w:adjustRightInd w:val="0"/>
        <w:spacing w:after="0"/>
        <w:ind w:firstLine="708"/>
        <w:rPr>
          <w:rFonts w:asciiTheme="majorBidi" w:eastAsia="CMSY6" w:hAnsiTheme="majorBidi" w:cstheme="majorBidi"/>
          <w:sz w:val="24"/>
          <w:szCs w:val="24"/>
        </w:rPr>
      </w:pPr>
    </w:p>
    <w:p w:rsidR="00AF6649" w:rsidRPr="000E5309" w:rsidRDefault="00AF6649" w:rsidP="000E5309">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Pr="002C2CAE">
        <w:rPr>
          <w:rFonts w:ascii="Times New Roman" w:eastAsia="Times New Roman" w:hAnsi="Times New Roman" w:cs="Times New Roman"/>
          <w:sz w:val="24"/>
          <w:szCs w:val="24"/>
          <w:lang w:eastAsia="fr-FR"/>
        </w:rPr>
        <w:t>Les «savoirs  à  enseigner»  sont  ceux  «qui  sont  décrits,  précisés,  dans  l’ensemble  des  textes  “officiels“(programmes,  instructions  officielles,  commentaires...)  ;</w:t>
      </w:r>
      <w:r>
        <w:rPr>
          <w:rFonts w:ascii="Times New Roman" w:eastAsia="Times New Roman" w:hAnsi="Times New Roman" w:cs="Times New Roman"/>
          <w:sz w:val="24"/>
          <w:szCs w:val="24"/>
          <w:lang w:eastAsia="fr-FR"/>
        </w:rPr>
        <w:t xml:space="preserve">  ces  textes  définissent  des </w:t>
      </w:r>
      <w:r w:rsidRPr="002C2CAE">
        <w:rPr>
          <w:rFonts w:ascii="Times New Roman" w:eastAsia="Times New Roman" w:hAnsi="Times New Roman" w:cs="Times New Roman"/>
          <w:sz w:val="24"/>
          <w:szCs w:val="24"/>
          <w:lang w:eastAsia="fr-FR"/>
        </w:rPr>
        <w:t>contenus, des normes, des méthodes</w:t>
      </w:r>
      <w:r>
        <w:rPr>
          <w:rFonts w:ascii="Times New Roman" w:eastAsia="Times New Roman" w:hAnsi="Times New Roman" w:cs="Times New Roman"/>
          <w:sz w:val="24"/>
          <w:szCs w:val="24"/>
          <w:lang w:eastAsia="fr-FR"/>
        </w:rPr>
        <w:t xml:space="preserve">. </w:t>
      </w:r>
      <w:r w:rsidRPr="002C2CAE">
        <w:rPr>
          <w:rFonts w:ascii="Times New Roman" w:eastAsia="Times New Roman" w:hAnsi="Times New Roman" w:cs="Times New Roman"/>
          <w:sz w:val="24"/>
          <w:szCs w:val="24"/>
          <w:lang w:eastAsia="fr-FR"/>
        </w:rPr>
        <w:t>»</w:t>
      </w:r>
      <w:r>
        <w:rPr>
          <w:rStyle w:val="FootnoteReference"/>
          <w:rFonts w:ascii="Times New Roman" w:eastAsia="Times New Roman" w:hAnsi="Times New Roman" w:cs="Times New Roman"/>
          <w:sz w:val="24"/>
          <w:szCs w:val="24"/>
          <w:lang w:eastAsia="fr-FR"/>
        </w:rPr>
        <w:footnoteReference w:id="9"/>
      </w:r>
      <w:r w:rsidRPr="002C2CAE">
        <w:rPr>
          <w:rFonts w:ascii="Times New Roman" w:eastAsia="Times New Roman" w:hAnsi="Times New Roman" w:cs="Times New Roman"/>
          <w:sz w:val="24"/>
          <w:szCs w:val="24"/>
          <w:lang w:eastAsia="fr-FR"/>
        </w:rPr>
        <w:t xml:space="preserve"> </w:t>
      </w:r>
    </w:p>
    <w:p w:rsidR="00AF6649" w:rsidRDefault="00AF6649" w:rsidP="0069222C">
      <w:pPr>
        <w:rPr>
          <w:rFonts w:asciiTheme="majorBidi" w:eastAsia="CMSY6" w:hAnsiTheme="majorBidi" w:cstheme="majorBidi"/>
          <w:b/>
          <w:bCs/>
          <w:sz w:val="24"/>
          <w:szCs w:val="24"/>
        </w:rPr>
      </w:pPr>
    </w:p>
    <w:p w:rsidR="0069222C" w:rsidRPr="000E5309" w:rsidRDefault="0069222C" w:rsidP="000E5309">
      <w:pPr>
        <w:pStyle w:val="ListParagraph"/>
        <w:numPr>
          <w:ilvl w:val="0"/>
          <w:numId w:val="2"/>
        </w:numPr>
        <w:rPr>
          <w:rFonts w:asciiTheme="majorBidi" w:eastAsia="CMSY6" w:hAnsiTheme="majorBidi" w:cstheme="majorBidi"/>
          <w:b/>
          <w:bCs/>
          <w:sz w:val="24"/>
          <w:szCs w:val="24"/>
        </w:rPr>
      </w:pPr>
      <w:r w:rsidRPr="000E5309">
        <w:rPr>
          <w:rFonts w:asciiTheme="majorBidi" w:eastAsia="CMSY6" w:hAnsiTheme="majorBidi" w:cstheme="majorBidi"/>
          <w:b/>
          <w:bCs/>
          <w:sz w:val="24"/>
          <w:szCs w:val="24"/>
        </w:rPr>
        <w:t>La transposition didactique interne : la construction du « </w:t>
      </w:r>
      <w:r w:rsidRPr="000E5309">
        <w:rPr>
          <w:rFonts w:asciiTheme="majorBidi" w:eastAsia="CMSY6" w:hAnsiTheme="majorBidi" w:cstheme="majorBidi"/>
          <w:b/>
          <w:bCs/>
          <w:i/>
          <w:iCs/>
          <w:sz w:val="24"/>
          <w:szCs w:val="24"/>
        </w:rPr>
        <w:t>savoir enseigné »</w:t>
      </w:r>
      <w:r w:rsidRPr="000E5309">
        <w:rPr>
          <w:rFonts w:asciiTheme="majorBidi" w:eastAsia="CMSY6" w:hAnsiTheme="majorBidi" w:cstheme="majorBidi"/>
          <w:b/>
          <w:bCs/>
          <w:sz w:val="24"/>
          <w:szCs w:val="24"/>
        </w:rPr>
        <w:t xml:space="preserve"> </w:t>
      </w:r>
    </w:p>
    <w:p w:rsidR="0069222C" w:rsidRPr="0016250D" w:rsidRDefault="0069222C" w:rsidP="0069222C">
      <w:pPr>
        <w:ind w:firstLine="708"/>
        <w:rPr>
          <w:rFonts w:asciiTheme="majorBidi" w:eastAsia="CMSY6" w:hAnsiTheme="majorBidi" w:cstheme="majorBidi"/>
          <w:sz w:val="24"/>
          <w:szCs w:val="24"/>
        </w:rPr>
      </w:pPr>
      <w:r w:rsidRPr="0016250D">
        <w:rPr>
          <w:rFonts w:asciiTheme="majorBidi" w:eastAsia="CMSY6" w:hAnsiTheme="majorBidi" w:cstheme="majorBidi"/>
          <w:sz w:val="24"/>
          <w:szCs w:val="24"/>
        </w:rPr>
        <w:t>Cette transposition se produit à l’intérieur du système didactique (à l’intérieur de la classe) à travers l’interaction professeur- élèves, c’est-à-dire à l’intérieur du processus d’enseignement</w:t>
      </w:r>
      <w:r>
        <w:rPr>
          <w:rFonts w:asciiTheme="majorBidi" w:eastAsia="CMSY6" w:hAnsiTheme="majorBidi" w:cstheme="majorBidi"/>
          <w:sz w:val="24"/>
          <w:szCs w:val="24"/>
        </w:rPr>
        <w:t xml:space="preserve"> au cours de la leçon</w:t>
      </w:r>
      <w:r w:rsidRPr="0016250D">
        <w:rPr>
          <w:rFonts w:asciiTheme="majorBidi" w:eastAsia="CMSY6" w:hAnsiTheme="majorBidi" w:cstheme="majorBidi"/>
          <w:sz w:val="24"/>
          <w:szCs w:val="24"/>
        </w:rPr>
        <w:t xml:space="preserve">. </w:t>
      </w:r>
    </w:p>
    <w:p w:rsidR="0069222C" w:rsidRPr="0016250D" w:rsidRDefault="0069222C" w:rsidP="0069222C">
      <w:pPr>
        <w:ind w:firstLine="708"/>
        <w:rPr>
          <w:rFonts w:asciiTheme="majorBidi" w:hAnsiTheme="majorBidi" w:cstheme="majorBidi"/>
          <w:sz w:val="24"/>
          <w:szCs w:val="24"/>
        </w:rPr>
      </w:pPr>
      <w:r>
        <w:rPr>
          <w:rFonts w:asciiTheme="majorBidi" w:eastAsia="CMSY6" w:hAnsiTheme="majorBidi" w:cstheme="majorBidi"/>
          <w:sz w:val="24"/>
          <w:szCs w:val="24"/>
        </w:rPr>
        <w:lastRenderedPageBreak/>
        <w:t>L</w:t>
      </w:r>
      <w:r w:rsidRPr="0016250D">
        <w:rPr>
          <w:rFonts w:asciiTheme="majorBidi" w:eastAsia="CMSY6" w:hAnsiTheme="majorBidi" w:cstheme="majorBidi"/>
          <w:sz w:val="24"/>
          <w:szCs w:val="24"/>
        </w:rPr>
        <w:t>es transformations</w:t>
      </w:r>
      <w:r>
        <w:rPr>
          <w:rFonts w:asciiTheme="majorBidi" w:eastAsia="CMSY6" w:hAnsiTheme="majorBidi" w:cstheme="majorBidi"/>
          <w:sz w:val="24"/>
          <w:szCs w:val="24"/>
        </w:rPr>
        <w:t>, les réélaborations et les négociations que l’enseignant, à travers son action, fait subir au savoir, débouchent sur</w:t>
      </w:r>
      <w:r w:rsidRPr="0016250D">
        <w:rPr>
          <w:rFonts w:asciiTheme="majorBidi" w:eastAsia="CMSY6" w:hAnsiTheme="majorBidi" w:cstheme="majorBidi"/>
          <w:sz w:val="24"/>
          <w:szCs w:val="24"/>
        </w:rPr>
        <w:t xml:space="preserve"> deux types</w:t>
      </w:r>
      <w:r w:rsidRPr="0016250D">
        <w:rPr>
          <w:rFonts w:asciiTheme="majorBidi" w:hAnsiTheme="majorBidi" w:cstheme="majorBidi"/>
          <w:sz w:val="24"/>
          <w:szCs w:val="24"/>
        </w:rPr>
        <w:t xml:space="preserve"> de </w:t>
      </w:r>
      <w:r>
        <w:rPr>
          <w:rFonts w:asciiTheme="majorBidi" w:hAnsiTheme="majorBidi" w:cstheme="majorBidi"/>
          <w:sz w:val="24"/>
          <w:szCs w:val="24"/>
        </w:rPr>
        <w:t xml:space="preserve">savoirs : le savoir réel ou le </w:t>
      </w:r>
      <w:r w:rsidRPr="0016250D">
        <w:rPr>
          <w:rFonts w:asciiTheme="majorBidi" w:hAnsiTheme="majorBidi" w:cstheme="majorBidi"/>
          <w:sz w:val="24"/>
          <w:szCs w:val="24"/>
        </w:rPr>
        <w:t>savoir enseigné</w:t>
      </w:r>
      <w:r>
        <w:rPr>
          <w:rFonts w:asciiTheme="majorBidi" w:hAnsiTheme="majorBidi" w:cstheme="majorBidi"/>
          <w:sz w:val="24"/>
          <w:szCs w:val="24"/>
        </w:rPr>
        <w:t xml:space="preserve"> ou tel qu’il est enseigné </w:t>
      </w:r>
      <w:r w:rsidRPr="0016250D">
        <w:rPr>
          <w:rFonts w:asciiTheme="majorBidi" w:hAnsiTheme="majorBidi" w:cstheme="majorBidi"/>
          <w:sz w:val="24"/>
          <w:szCs w:val="24"/>
        </w:rPr>
        <w:t xml:space="preserve">et </w:t>
      </w:r>
      <w:r>
        <w:rPr>
          <w:rFonts w:asciiTheme="majorBidi" w:hAnsiTheme="majorBidi" w:cstheme="majorBidi"/>
          <w:sz w:val="24"/>
          <w:szCs w:val="24"/>
        </w:rPr>
        <w:t>le savoir appris. Il s’agit donc du</w:t>
      </w:r>
      <w:r w:rsidRPr="0016250D">
        <w:rPr>
          <w:rFonts w:asciiTheme="majorBidi" w:hAnsiTheme="majorBidi" w:cstheme="majorBidi"/>
          <w:sz w:val="24"/>
          <w:szCs w:val="24"/>
        </w:rPr>
        <w:t xml:space="preserve"> savoir réellement enseigné en classe et </w:t>
      </w:r>
      <w:r>
        <w:rPr>
          <w:rFonts w:asciiTheme="majorBidi" w:hAnsiTheme="majorBidi" w:cstheme="majorBidi"/>
          <w:sz w:val="24"/>
          <w:szCs w:val="24"/>
        </w:rPr>
        <w:t>du</w:t>
      </w:r>
      <w:r w:rsidRPr="0016250D">
        <w:rPr>
          <w:rFonts w:asciiTheme="majorBidi" w:hAnsiTheme="majorBidi" w:cstheme="majorBidi"/>
          <w:sz w:val="24"/>
          <w:szCs w:val="24"/>
        </w:rPr>
        <w:t xml:space="preserve"> savoir que l’élève assimile effectivement.</w:t>
      </w:r>
    </w:p>
    <w:p w:rsidR="0069222C" w:rsidRPr="000E5309" w:rsidRDefault="0069222C" w:rsidP="000E5309">
      <w:pPr>
        <w:pStyle w:val="ListParagraph"/>
        <w:numPr>
          <w:ilvl w:val="0"/>
          <w:numId w:val="1"/>
        </w:numPr>
        <w:rPr>
          <w:rFonts w:asciiTheme="majorBidi" w:eastAsia="CMSY6" w:hAnsiTheme="majorBidi" w:cstheme="majorBidi"/>
          <w:b/>
          <w:bCs/>
          <w:sz w:val="24"/>
          <w:szCs w:val="24"/>
        </w:rPr>
      </w:pPr>
      <w:r w:rsidRPr="000E5309">
        <w:rPr>
          <w:rFonts w:asciiTheme="majorBidi" w:eastAsia="CMSY6" w:hAnsiTheme="majorBidi" w:cstheme="majorBidi"/>
          <w:b/>
          <w:bCs/>
          <w:i/>
          <w:iCs/>
          <w:sz w:val="24"/>
          <w:szCs w:val="24"/>
        </w:rPr>
        <w:t>Sélection</w:t>
      </w:r>
      <w:r w:rsidRPr="000E5309">
        <w:rPr>
          <w:rFonts w:asciiTheme="majorBidi" w:eastAsia="CMSY6" w:hAnsiTheme="majorBidi" w:cstheme="majorBidi"/>
          <w:b/>
          <w:bCs/>
          <w:sz w:val="24"/>
          <w:szCs w:val="24"/>
        </w:rPr>
        <w:t xml:space="preserve"> et </w:t>
      </w:r>
      <w:r w:rsidRPr="000E5309">
        <w:rPr>
          <w:rFonts w:asciiTheme="majorBidi" w:eastAsia="CMSY6" w:hAnsiTheme="majorBidi" w:cstheme="majorBidi"/>
          <w:b/>
          <w:bCs/>
          <w:i/>
          <w:iCs/>
          <w:sz w:val="24"/>
          <w:szCs w:val="24"/>
        </w:rPr>
        <w:t>transformation</w:t>
      </w:r>
      <w:r w:rsidRPr="000E5309">
        <w:rPr>
          <w:rFonts w:asciiTheme="majorBidi" w:eastAsia="CMSY6" w:hAnsiTheme="majorBidi" w:cstheme="majorBidi"/>
          <w:b/>
          <w:bCs/>
          <w:sz w:val="24"/>
          <w:szCs w:val="24"/>
        </w:rPr>
        <w:t xml:space="preserve"> des savoirs : deux processus qui interviennent dans la transposition didactique </w:t>
      </w:r>
    </w:p>
    <w:p w:rsidR="0069222C" w:rsidRPr="00FE3114" w:rsidRDefault="0069222C" w:rsidP="0069222C">
      <w:pPr>
        <w:ind w:firstLine="708"/>
        <w:rPr>
          <w:rFonts w:asciiTheme="majorBidi" w:eastAsia="CMSY6" w:hAnsiTheme="majorBidi" w:cstheme="majorBidi"/>
          <w:sz w:val="24"/>
          <w:szCs w:val="24"/>
        </w:rPr>
      </w:pPr>
      <w:r>
        <w:rPr>
          <w:rFonts w:asciiTheme="majorBidi" w:eastAsia="CMSY6" w:hAnsiTheme="majorBidi" w:cstheme="majorBidi"/>
          <w:sz w:val="24"/>
          <w:szCs w:val="24"/>
        </w:rPr>
        <w:t xml:space="preserve">Deux processus interviennent donc inévitablement dans la transposition didactique : </w:t>
      </w:r>
      <w:r w:rsidRPr="00FE3114">
        <w:rPr>
          <w:rFonts w:asciiTheme="majorBidi" w:eastAsia="CMSY6" w:hAnsiTheme="majorBidi" w:cstheme="majorBidi"/>
          <w:sz w:val="24"/>
          <w:szCs w:val="24"/>
        </w:rPr>
        <w:t>la sélection et</w:t>
      </w:r>
      <w:r>
        <w:rPr>
          <w:rFonts w:asciiTheme="majorBidi" w:eastAsia="CMSY6" w:hAnsiTheme="majorBidi" w:cstheme="majorBidi"/>
          <w:sz w:val="24"/>
          <w:szCs w:val="24"/>
        </w:rPr>
        <w:t xml:space="preserve"> la transformation des savoirs</w:t>
      </w:r>
      <w:r>
        <w:rPr>
          <w:rStyle w:val="FootnoteReference"/>
          <w:rFonts w:asciiTheme="majorBidi" w:eastAsia="CMSY6" w:hAnsiTheme="majorBidi" w:cstheme="majorBidi"/>
          <w:sz w:val="24"/>
          <w:szCs w:val="24"/>
        </w:rPr>
        <w:footnoteReference w:id="10"/>
      </w:r>
      <w:r>
        <w:rPr>
          <w:rFonts w:asciiTheme="majorBidi" w:eastAsia="CMSY6" w:hAnsiTheme="majorBidi" w:cstheme="majorBidi"/>
          <w:sz w:val="24"/>
          <w:szCs w:val="24"/>
        </w:rPr>
        <w:t xml:space="preserve">. La sélection dans le savoir savant, d’un savoir à enseigner, et sa transformation en objet d’enseignement est opérée par la « noosphère ».     </w:t>
      </w:r>
    </w:p>
    <w:p w:rsidR="0069222C" w:rsidRPr="000E5309" w:rsidRDefault="0069222C" w:rsidP="000E5309">
      <w:pPr>
        <w:pStyle w:val="ListParagraph"/>
        <w:numPr>
          <w:ilvl w:val="0"/>
          <w:numId w:val="2"/>
        </w:numPr>
        <w:rPr>
          <w:rFonts w:asciiTheme="majorBidi" w:eastAsia="CMSY6" w:hAnsiTheme="majorBidi" w:cstheme="majorBidi"/>
          <w:b/>
          <w:bCs/>
          <w:sz w:val="24"/>
          <w:szCs w:val="24"/>
        </w:rPr>
      </w:pPr>
      <w:r w:rsidRPr="000E5309">
        <w:rPr>
          <w:rFonts w:asciiTheme="majorBidi" w:eastAsia="CMSY6" w:hAnsiTheme="majorBidi" w:cstheme="majorBidi"/>
          <w:b/>
          <w:bCs/>
          <w:sz w:val="24"/>
          <w:szCs w:val="24"/>
        </w:rPr>
        <w:t xml:space="preserve">La sélection des savoirs </w:t>
      </w:r>
    </w:p>
    <w:p w:rsidR="0069222C" w:rsidRPr="00E67E6D" w:rsidRDefault="0069222C" w:rsidP="0069222C">
      <w:pPr>
        <w:ind w:firstLine="708"/>
        <w:rPr>
          <w:rFonts w:asciiTheme="majorBidi" w:eastAsia="CMSY6" w:hAnsiTheme="majorBidi" w:cstheme="majorBidi"/>
          <w:sz w:val="24"/>
          <w:szCs w:val="24"/>
        </w:rPr>
      </w:pPr>
      <w:r>
        <w:rPr>
          <w:rFonts w:asciiTheme="majorBidi" w:eastAsia="CMSY6" w:hAnsiTheme="majorBidi" w:cstheme="majorBidi"/>
          <w:sz w:val="24"/>
          <w:szCs w:val="24"/>
        </w:rPr>
        <w:t>Bien entendu, il</w:t>
      </w:r>
      <w:r w:rsidRPr="00BB0786">
        <w:rPr>
          <w:rFonts w:asciiTheme="majorBidi" w:eastAsia="CMSY6" w:hAnsiTheme="majorBidi" w:cstheme="majorBidi"/>
          <w:sz w:val="24"/>
          <w:szCs w:val="24"/>
        </w:rPr>
        <w:t xml:space="preserve"> est </w:t>
      </w:r>
      <w:r>
        <w:rPr>
          <w:rFonts w:asciiTheme="majorBidi" w:eastAsia="CMSY6" w:hAnsiTheme="majorBidi" w:cstheme="majorBidi"/>
          <w:sz w:val="24"/>
          <w:szCs w:val="24"/>
        </w:rPr>
        <w:t xml:space="preserve">tout à fait </w:t>
      </w:r>
      <w:r w:rsidRPr="00BB0786">
        <w:rPr>
          <w:rFonts w:asciiTheme="majorBidi" w:eastAsia="CMSY6" w:hAnsiTheme="majorBidi" w:cstheme="majorBidi"/>
          <w:sz w:val="24"/>
          <w:szCs w:val="24"/>
        </w:rPr>
        <w:t xml:space="preserve">impossible </w:t>
      </w:r>
      <w:r>
        <w:rPr>
          <w:rFonts w:asciiTheme="majorBidi" w:eastAsia="CMSY6" w:hAnsiTheme="majorBidi" w:cstheme="majorBidi"/>
          <w:sz w:val="24"/>
          <w:szCs w:val="24"/>
        </w:rPr>
        <w:t xml:space="preserve">d’intégrer tous les domaines scientifiques dans le curriculum scolaire, de même qu’il n’est pas possible </w:t>
      </w:r>
      <w:r w:rsidRPr="00BB0786">
        <w:rPr>
          <w:rFonts w:asciiTheme="majorBidi" w:eastAsia="CMSY6" w:hAnsiTheme="majorBidi" w:cstheme="majorBidi"/>
          <w:sz w:val="24"/>
          <w:szCs w:val="24"/>
        </w:rPr>
        <w:t>d’enseigner tous les savoirs relatifs à une discipline.</w:t>
      </w:r>
      <w:r>
        <w:rPr>
          <w:rFonts w:asciiTheme="majorBidi" w:eastAsia="CMSY6" w:hAnsiTheme="majorBidi" w:cstheme="majorBidi"/>
          <w:sz w:val="24"/>
          <w:szCs w:val="24"/>
        </w:rPr>
        <w:t xml:space="preserve"> Les choix des savoirs sont généralement opérés en fonction de la progression dans les programmes d’études établis pour les différents niveaux, en fonction des buts poursuivis par le système éducatif. Par conséquent, certains concepts jugés difficiles ne seront pas sélectionnés à certains niveaux. D’autres concepts seront jugés indispensables et vont constituer des aspects importants du programme.</w:t>
      </w:r>
    </w:p>
    <w:p w:rsidR="0069222C" w:rsidRPr="000E5309" w:rsidRDefault="0069222C" w:rsidP="000E5309">
      <w:pPr>
        <w:pStyle w:val="ListParagraph"/>
        <w:numPr>
          <w:ilvl w:val="0"/>
          <w:numId w:val="2"/>
        </w:numPr>
        <w:rPr>
          <w:rFonts w:asciiTheme="majorBidi" w:eastAsia="CMSY6" w:hAnsiTheme="majorBidi" w:cstheme="majorBidi"/>
          <w:b/>
          <w:bCs/>
          <w:sz w:val="24"/>
          <w:szCs w:val="24"/>
        </w:rPr>
      </w:pPr>
      <w:r w:rsidRPr="000E5309">
        <w:rPr>
          <w:rFonts w:asciiTheme="majorBidi" w:eastAsia="CMSY6" w:hAnsiTheme="majorBidi" w:cstheme="majorBidi"/>
          <w:b/>
          <w:bCs/>
          <w:sz w:val="24"/>
          <w:szCs w:val="24"/>
        </w:rPr>
        <w:t>La transformation des savoirs</w:t>
      </w:r>
    </w:p>
    <w:p w:rsidR="0069222C" w:rsidRPr="004D0657" w:rsidRDefault="0069222C" w:rsidP="004D0657">
      <w:pPr>
        <w:ind w:firstLine="708"/>
        <w:rPr>
          <w:rFonts w:asciiTheme="majorBidi" w:eastAsia="CMSY6" w:hAnsiTheme="majorBidi" w:cstheme="majorBidi"/>
          <w:sz w:val="24"/>
          <w:szCs w:val="24"/>
        </w:rPr>
      </w:pPr>
      <w:r>
        <w:rPr>
          <w:rFonts w:asciiTheme="majorBidi" w:eastAsia="CMSY6" w:hAnsiTheme="majorBidi" w:cstheme="majorBidi"/>
          <w:sz w:val="24"/>
          <w:szCs w:val="24"/>
        </w:rPr>
        <w:t xml:space="preserve">Au cours de </w:t>
      </w:r>
      <w:r w:rsidRPr="0016250D">
        <w:rPr>
          <w:rFonts w:asciiTheme="majorBidi" w:eastAsia="CMSY6" w:hAnsiTheme="majorBidi" w:cstheme="majorBidi"/>
          <w:sz w:val="24"/>
          <w:szCs w:val="24"/>
        </w:rPr>
        <w:t>transposition</w:t>
      </w:r>
      <w:r>
        <w:rPr>
          <w:rFonts w:asciiTheme="majorBidi" w:eastAsia="CMSY6" w:hAnsiTheme="majorBidi" w:cstheme="majorBidi"/>
          <w:sz w:val="24"/>
          <w:szCs w:val="24"/>
        </w:rPr>
        <w:t xml:space="preserve"> didactique – externe-</w:t>
      </w:r>
      <w:r w:rsidRPr="0016250D">
        <w:rPr>
          <w:rFonts w:asciiTheme="majorBidi" w:eastAsia="CMSY6" w:hAnsiTheme="majorBidi" w:cstheme="majorBidi"/>
          <w:sz w:val="24"/>
          <w:szCs w:val="24"/>
        </w:rPr>
        <w:t>, les savoirs</w:t>
      </w:r>
      <w:r>
        <w:rPr>
          <w:rFonts w:asciiTheme="majorBidi" w:eastAsia="CMSY6" w:hAnsiTheme="majorBidi" w:cstheme="majorBidi"/>
          <w:sz w:val="24"/>
          <w:szCs w:val="24"/>
        </w:rPr>
        <w:t xml:space="preserve"> sélectionnés</w:t>
      </w:r>
      <w:r w:rsidRPr="0016250D">
        <w:rPr>
          <w:rFonts w:asciiTheme="majorBidi" w:eastAsia="CMSY6" w:hAnsiTheme="majorBidi" w:cstheme="majorBidi"/>
          <w:sz w:val="24"/>
          <w:szCs w:val="24"/>
        </w:rPr>
        <w:t xml:space="preserve"> </w:t>
      </w:r>
      <w:r>
        <w:rPr>
          <w:rFonts w:asciiTheme="majorBidi" w:eastAsia="CMSY6" w:hAnsiTheme="majorBidi" w:cstheme="majorBidi"/>
          <w:sz w:val="24"/>
          <w:szCs w:val="24"/>
        </w:rPr>
        <w:t xml:space="preserve">vont subir des transformations pour devenir des savoirs scolaires ou des savoirs enseignables. Autrement dit, ils vont être présentés sous une nouvelle reconfiguration qui les rend adaptés à l’âge et au niveau des apprenants. Ainsi, ils seront </w:t>
      </w:r>
      <w:r w:rsidRPr="0016250D">
        <w:rPr>
          <w:rFonts w:asciiTheme="majorBidi" w:eastAsia="CMSY6" w:hAnsiTheme="majorBidi" w:cstheme="majorBidi"/>
          <w:sz w:val="24"/>
          <w:szCs w:val="24"/>
        </w:rPr>
        <w:t xml:space="preserve">fragmentés en éléments pour répondre à la </w:t>
      </w:r>
      <w:r>
        <w:rPr>
          <w:rFonts w:asciiTheme="majorBidi" w:eastAsia="CMSY6" w:hAnsiTheme="majorBidi" w:cstheme="majorBidi"/>
          <w:sz w:val="24"/>
          <w:szCs w:val="24"/>
        </w:rPr>
        <w:t>« </w:t>
      </w:r>
      <w:r w:rsidRPr="0016250D">
        <w:rPr>
          <w:rFonts w:asciiTheme="majorBidi" w:eastAsia="CMSY6" w:hAnsiTheme="majorBidi" w:cstheme="majorBidi"/>
          <w:sz w:val="24"/>
          <w:szCs w:val="24"/>
        </w:rPr>
        <w:t>séquencialisation</w:t>
      </w:r>
      <w:r>
        <w:rPr>
          <w:rFonts w:asciiTheme="majorBidi" w:eastAsia="CMSY6" w:hAnsiTheme="majorBidi" w:cstheme="majorBidi"/>
          <w:sz w:val="24"/>
          <w:szCs w:val="24"/>
        </w:rPr>
        <w:t> »</w:t>
      </w:r>
      <w:r w:rsidRPr="0016250D">
        <w:rPr>
          <w:rFonts w:asciiTheme="majorBidi" w:eastAsia="CMSY6" w:hAnsiTheme="majorBidi" w:cstheme="majorBidi"/>
          <w:sz w:val="24"/>
          <w:szCs w:val="24"/>
        </w:rPr>
        <w:t xml:space="preserve"> des contenus que requiert la p</w:t>
      </w:r>
      <w:r>
        <w:rPr>
          <w:rFonts w:asciiTheme="majorBidi" w:eastAsia="CMSY6" w:hAnsiTheme="majorBidi" w:cstheme="majorBidi"/>
          <w:sz w:val="24"/>
          <w:szCs w:val="24"/>
        </w:rPr>
        <w:t xml:space="preserve">rogression du système scolaire. </w:t>
      </w:r>
    </w:p>
    <w:p w:rsidR="0069222C" w:rsidRDefault="0069222C" w:rsidP="000E5309">
      <w:pPr>
        <w:pStyle w:val="NormalWeb"/>
        <w:numPr>
          <w:ilvl w:val="0"/>
          <w:numId w:val="1"/>
        </w:numPr>
        <w:shd w:val="clear" w:color="auto" w:fill="FFFFFF"/>
        <w:spacing w:line="276" w:lineRule="auto"/>
        <w:rPr>
          <w:rFonts w:asciiTheme="majorBidi" w:hAnsiTheme="majorBidi" w:cstheme="majorBidi"/>
          <w:b/>
          <w:bCs/>
        </w:rPr>
      </w:pPr>
      <w:r>
        <w:rPr>
          <w:rFonts w:asciiTheme="majorBidi" w:hAnsiTheme="majorBidi" w:cstheme="majorBidi"/>
          <w:b/>
          <w:bCs/>
        </w:rPr>
        <w:t>Les aspects de la transposition didactique</w:t>
      </w:r>
    </w:p>
    <w:p w:rsidR="0069222C" w:rsidRDefault="0069222C" w:rsidP="004D0657">
      <w:pPr>
        <w:pStyle w:val="NormalWeb"/>
        <w:shd w:val="clear" w:color="auto" w:fill="FFFFFF"/>
        <w:spacing w:line="276" w:lineRule="auto"/>
        <w:ind w:firstLine="708"/>
        <w:rPr>
          <w:rFonts w:asciiTheme="majorBidi" w:hAnsiTheme="majorBidi" w:cstheme="majorBidi"/>
        </w:rPr>
      </w:pPr>
      <w:r>
        <w:rPr>
          <w:rFonts w:asciiTheme="majorBidi" w:hAnsiTheme="majorBidi" w:cstheme="majorBidi"/>
        </w:rPr>
        <w:t>L</w:t>
      </w:r>
      <w:r w:rsidRPr="000122B6">
        <w:rPr>
          <w:rFonts w:asciiTheme="majorBidi" w:hAnsiTheme="majorBidi" w:cstheme="majorBidi"/>
        </w:rPr>
        <w:t>es</w:t>
      </w:r>
      <w:r>
        <w:rPr>
          <w:rFonts w:asciiTheme="majorBidi" w:hAnsiTheme="majorBidi" w:cstheme="majorBidi"/>
        </w:rPr>
        <w:t xml:space="preserve"> aspects (proposées par M.Verret et repris par Y. Chevallard)</w:t>
      </w:r>
      <w:r>
        <w:rPr>
          <w:rStyle w:val="FootnoteReference"/>
          <w:rFonts w:asciiTheme="majorBidi" w:hAnsiTheme="majorBidi" w:cstheme="majorBidi"/>
        </w:rPr>
        <w:footnoteReference w:id="11"/>
      </w:r>
      <w:r>
        <w:rPr>
          <w:rFonts w:asciiTheme="majorBidi" w:hAnsiTheme="majorBidi" w:cstheme="majorBidi"/>
        </w:rPr>
        <w:t xml:space="preserve"> représentent à la fois des données nécessaires au travail de transposition didactique et, en même temps, ils peuvent être appréhendés comme des effets pervers du processus.</w:t>
      </w:r>
      <w:r>
        <w:rPr>
          <w:rStyle w:val="FootnoteReference"/>
          <w:rFonts w:asciiTheme="majorBidi" w:hAnsiTheme="majorBidi" w:cstheme="majorBidi"/>
        </w:rPr>
        <w:footnoteReference w:id="12"/>
      </w:r>
      <w:r>
        <w:rPr>
          <w:rFonts w:asciiTheme="majorBidi" w:hAnsiTheme="majorBidi" w:cstheme="majorBidi"/>
        </w:rPr>
        <w:t xml:space="preserve"> </w:t>
      </w:r>
    </w:p>
    <w:p w:rsidR="004D0657" w:rsidRDefault="0069222C" w:rsidP="000E5309">
      <w:pPr>
        <w:pStyle w:val="NormalWeb"/>
        <w:numPr>
          <w:ilvl w:val="0"/>
          <w:numId w:val="2"/>
        </w:numPr>
        <w:shd w:val="clear" w:color="auto" w:fill="FFFFFF"/>
        <w:spacing w:line="276" w:lineRule="auto"/>
        <w:rPr>
          <w:rFonts w:asciiTheme="majorBidi" w:hAnsiTheme="majorBidi" w:cstheme="majorBidi"/>
        </w:rPr>
      </w:pPr>
      <w:r w:rsidRPr="00C43D96">
        <w:rPr>
          <w:rFonts w:asciiTheme="majorBidi" w:hAnsiTheme="majorBidi" w:cstheme="majorBidi"/>
          <w:b/>
          <w:bCs/>
        </w:rPr>
        <w:t>La désyncrétisation</w:t>
      </w:r>
      <w:r w:rsidRPr="00613B75">
        <w:rPr>
          <w:rFonts w:asciiTheme="majorBidi" w:hAnsiTheme="majorBidi" w:cstheme="majorBidi"/>
        </w:rPr>
        <w:t> </w:t>
      </w:r>
      <w:r w:rsidRPr="00613B75">
        <w:rPr>
          <w:rFonts w:asciiTheme="majorBidi" w:hAnsiTheme="majorBidi" w:cstheme="majorBidi"/>
          <w:b/>
          <w:bCs/>
        </w:rPr>
        <w:t>:</w:t>
      </w:r>
      <w:r w:rsidRPr="00613B75">
        <w:rPr>
          <w:rFonts w:asciiTheme="majorBidi" w:hAnsiTheme="majorBidi" w:cstheme="majorBidi"/>
        </w:rPr>
        <w:t xml:space="preserve"> </w:t>
      </w:r>
      <w:r>
        <w:rPr>
          <w:rFonts w:asciiTheme="majorBidi" w:hAnsiTheme="majorBidi" w:cstheme="majorBidi"/>
        </w:rPr>
        <w:t xml:space="preserve">c’est </w:t>
      </w:r>
      <w:r w:rsidRPr="00613B75">
        <w:rPr>
          <w:rFonts w:asciiTheme="majorBidi" w:hAnsiTheme="majorBidi" w:cstheme="majorBidi"/>
        </w:rPr>
        <w:t xml:space="preserve">une conséquence </w:t>
      </w:r>
      <w:r>
        <w:rPr>
          <w:rFonts w:asciiTheme="majorBidi" w:hAnsiTheme="majorBidi" w:cstheme="majorBidi"/>
        </w:rPr>
        <w:t xml:space="preserve">du choix et de </w:t>
      </w:r>
      <w:r w:rsidRPr="00613B75">
        <w:rPr>
          <w:rFonts w:asciiTheme="majorBidi" w:hAnsiTheme="majorBidi" w:cstheme="majorBidi"/>
        </w:rPr>
        <w:t>la sélection du savoir</w:t>
      </w:r>
      <w:r>
        <w:rPr>
          <w:rFonts w:asciiTheme="majorBidi" w:hAnsiTheme="majorBidi" w:cstheme="majorBidi"/>
        </w:rPr>
        <w:t xml:space="preserve"> en vue de l’enseignement</w:t>
      </w:r>
      <w:r w:rsidRPr="00613B75">
        <w:rPr>
          <w:rFonts w:asciiTheme="majorBidi" w:hAnsiTheme="majorBidi" w:cstheme="majorBidi"/>
        </w:rPr>
        <w:t xml:space="preserve">. </w:t>
      </w:r>
      <w:r>
        <w:rPr>
          <w:rFonts w:asciiTheme="majorBidi" w:hAnsiTheme="majorBidi" w:cstheme="majorBidi"/>
        </w:rPr>
        <w:t>Détachés du cadre théorique et scientifique dont ils sont issus</w:t>
      </w:r>
      <w:r w:rsidRPr="00613B75">
        <w:rPr>
          <w:rFonts w:asciiTheme="majorBidi" w:hAnsiTheme="majorBidi" w:cstheme="majorBidi"/>
        </w:rPr>
        <w:t xml:space="preserve">, </w:t>
      </w:r>
      <w:r>
        <w:rPr>
          <w:rFonts w:asciiTheme="majorBidi" w:hAnsiTheme="majorBidi" w:cstheme="majorBidi"/>
        </w:rPr>
        <w:t>les savoirs</w:t>
      </w:r>
      <w:r w:rsidRPr="00613B75">
        <w:rPr>
          <w:rFonts w:asciiTheme="majorBidi" w:hAnsiTheme="majorBidi" w:cstheme="majorBidi"/>
        </w:rPr>
        <w:t xml:space="preserve"> perdent le sens qu’il</w:t>
      </w:r>
      <w:r>
        <w:rPr>
          <w:rFonts w:asciiTheme="majorBidi" w:hAnsiTheme="majorBidi" w:cstheme="majorBidi"/>
        </w:rPr>
        <w:t>s</w:t>
      </w:r>
      <w:r w:rsidRPr="00613B75">
        <w:rPr>
          <w:rFonts w:asciiTheme="majorBidi" w:hAnsiTheme="majorBidi" w:cstheme="majorBidi"/>
        </w:rPr>
        <w:t xml:space="preserve"> véhicule</w:t>
      </w:r>
      <w:r>
        <w:rPr>
          <w:rFonts w:asciiTheme="majorBidi" w:hAnsiTheme="majorBidi" w:cstheme="majorBidi"/>
        </w:rPr>
        <w:t>nt</w:t>
      </w:r>
      <w:r w:rsidRPr="00613B75">
        <w:rPr>
          <w:rFonts w:asciiTheme="majorBidi" w:hAnsiTheme="majorBidi" w:cstheme="majorBidi"/>
        </w:rPr>
        <w:t xml:space="preserve"> dans </w:t>
      </w:r>
      <w:r>
        <w:rPr>
          <w:rFonts w:asciiTheme="majorBidi" w:hAnsiTheme="majorBidi" w:cstheme="majorBidi"/>
        </w:rPr>
        <w:t>leurs</w:t>
      </w:r>
      <w:r w:rsidRPr="00613B75">
        <w:rPr>
          <w:rFonts w:asciiTheme="majorBidi" w:hAnsiTheme="majorBidi" w:cstheme="majorBidi"/>
        </w:rPr>
        <w:t xml:space="preserve"> contexte</w:t>
      </w:r>
      <w:r>
        <w:rPr>
          <w:rFonts w:asciiTheme="majorBidi" w:hAnsiTheme="majorBidi" w:cstheme="majorBidi"/>
        </w:rPr>
        <w:t>s d’élaboration</w:t>
      </w:r>
      <w:r w:rsidRPr="00613B75">
        <w:rPr>
          <w:rFonts w:asciiTheme="majorBidi" w:hAnsiTheme="majorBidi" w:cstheme="majorBidi"/>
        </w:rPr>
        <w:t xml:space="preserve">, </w:t>
      </w:r>
      <w:r>
        <w:rPr>
          <w:rFonts w:asciiTheme="majorBidi" w:hAnsiTheme="majorBidi" w:cstheme="majorBidi"/>
        </w:rPr>
        <w:t>étant</w:t>
      </w:r>
      <w:r w:rsidRPr="00613B75">
        <w:rPr>
          <w:rFonts w:asciiTheme="majorBidi" w:hAnsiTheme="majorBidi" w:cstheme="majorBidi"/>
        </w:rPr>
        <w:t xml:space="preserve"> imbriqué</w:t>
      </w:r>
      <w:r>
        <w:rPr>
          <w:rFonts w:asciiTheme="majorBidi" w:hAnsiTheme="majorBidi" w:cstheme="majorBidi"/>
        </w:rPr>
        <w:t>s</w:t>
      </w:r>
      <w:r w:rsidRPr="00613B75">
        <w:rPr>
          <w:rFonts w:asciiTheme="majorBidi" w:hAnsiTheme="majorBidi" w:cstheme="majorBidi"/>
        </w:rPr>
        <w:t xml:space="preserve"> dans un réseau conceptuel.</w:t>
      </w:r>
      <w:r>
        <w:rPr>
          <w:rFonts w:asciiTheme="majorBidi" w:hAnsiTheme="majorBidi" w:cstheme="majorBidi"/>
        </w:rPr>
        <w:t xml:space="preserve"> </w:t>
      </w:r>
    </w:p>
    <w:p w:rsidR="0069222C" w:rsidRDefault="0069222C" w:rsidP="000E5309">
      <w:pPr>
        <w:pStyle w:val="NormalWeb"/>
        <w:numPr>
          <w:ilvl w:val="0"/>
          <w:numId w:val="2"/>
        </w:numPr>
        <w:shd w:val="clear" w:color="auto" w:fill="FFFFFF"/>
        <w:spacing w:line="276" w:lineRule="auto"/>
        <w:rPr>
          <w:rFonts w:asciiTheme="majorBidi" w:hAnsiTheme="majorBidi" w:cstheme="majorBidi"/>
        </w:rPr>
      </w:pPr>
      <w:r w:rsidRPr="00613B75">
        <w:rPr>
          <w:rFonts w:asciiTheme="majorBidi" w:hAnsiTheme="majorBidi" w:cstheme="majorBidi"/>
          <w:b/>
          <w:bCs/>
        </w:rPr>
        <w:t xml:space="preserve">La dépersonnalisation (dé-historisation) : </w:t>
      </w:r>
      <w:r>
        <w:rPr>
          <w:rFonts w:asciiTheme="majorBidi" w:hAnsiTheme="majorBidi" w:cstheme="majorBidi"/>
        </w:rPr>
        <w:t>l</w:t>
      </w:r>
      <w:r w:rsidRPr="00613B75">
        <w:rPr>
          <w:rFonts w:asciiTheme="majorBidi" w:hAnsiTheme="majorBidi" w:cstheme="majorBidi"/>
        </w:rPr>
        <w:t>es savoirs sont</w:t>
      </w:r>
      <w:r>
        <w:rPr>
          <w:rFonts w:asciiTheme="majorBidi" w:hAnsiTheme="majorBidi" w:cstheme="majorBidi"/>
        </w:rPr>
        <w:t xml:space="preserve"> décontextualisés, étant dissociés</w:t>
      </w:r>
      <w:r w:rsidRPr="00613B75">
        <w:rPr>
          <w:rFonts w:asciiTheme="majorBidi" w:hAnsiTheme="majorBidi" w:cstheme="majorBidi"/>
        </w:rPr>
        <w:t xml:space="preserve"> de leur cadre socioculturel</w:t>
      </w:r>
      <w:r w:rsidR="004D0657">
        <w:rPr>
          <w:rFonts w:asciiTheme="majorBidi" w:hAnsiTheme="majorBidi" w:cstheme="majorBidi"/>
        </w:rPr>
        <w:t xml:space="preserve"> et historique</w:t>
      </w:r>
      <w:r>
        <w:rPr>
          <w:rFonts w:asciiTheme="majorBidi" w:hAnsiTheme="majorBidi" w:cstheme="majorBidi"/>
        </w:rPr>
        <w:t xml:space="preserve"> et de la subjectivité dont ils émanent (individus ou groupes qui l’ont produit). C</w:t>
      </w:r>
      <w:r w:rsidRPr="00613B75">
        <w:rPr>
          <w:rFonts w:asciiTheme="majorBidi" w:hAnsiTheme="majorBidi" w:cstheme="majorBidi"/>
        </w:rPr>
        <w:t>e</w:t>
      </w:r>
      <w:r>
        <w:rPr>
          <w:rFonts w:asciiTheme="majorBidi" w:hAnsiTheme="majorBidi" w:cstheme="majorBidi"/>
        </w:rPr>
        <w:t>ci</w:t>
      </w:r>
      <w:r w:rsidRPr="00613B75">
        <w:rPr>
          <w:rFonts w:asciiTheme="majorBidi" w:hAnsiTheme="majorBidi" w:cstheme="majorBidi"/>
        </w:rPr>
        <w:t xml:space="preserve"> entraine une modification de la </w:t>
      </w:r>
      <w:r w:rsidRPr="00613B75">
        <w:rPr>
          <w:rFonts w:asciiTheme="majorBidi" w:hAnsiTheme="majorBidi" w:cstheme="majorBidi"/>
        </w:rPr>
        <w:lastRenderedPageBreak/>
        <w:t>perception que l’on peut</w:t>
      </w:r>
      <w:r>
        <w:rPr>
          <w:rFonts w:asciiTheme="majorBidi" w:hAnsiTheme="majorBidi" w:cstheme="majorBidi"/>
        </w:rPr>
        <w:t xml:space="preserve"> avoir à leur égard.</w:t>
      </w:r>
      <w:r w:rsidRPr="00613B75">
        <w:rPr>
          <w:rFonts w:asciiTheme="majorBidi" w:hAnsiTheme="majorBidi" w:cstheme="majorBidi"/>
        </w:rPr>
        <w:t xml:space="preserve"> </w:t>
      </w:r>
      <w:r>
        <w:rPr>
          <w:rFonts w:asciiTheme="majorBidi" w:hAnsiTheme="majorBidi" w:cstheme="majorBidi"/>
        </w:rPr>
        <w:t>De ce fait, dans la situation d’enseignement ils seront présentés comme un ensemble de vérités universelles</w:t>
      </w:r>
      <w:r>
        <w:rPr>
          <w:rStyle w:val="FootnoteReference"/>
          <w:rFonts w:asciiTheme="majorBidi" w:hAnsiTheme="majorBidi" w:cstheme="majorBidi"/>
        </w:rPr>
        <w:footnoteReference w:id="13"/>
      </w:r>
      <w:r>
        <w:rPr>
          <w:rFonts w:asciiTheme="majorBidi" w:hAnsiTheme="majorBidi" w:cstheme="majorBidi"/>
        </w:rPr>
        <w:t xml:space="preserve">. </w:t>
      </w:r>
    </w:p>
    <w:p w:rsidR="0069222C" w:rsidRPr="00EE5431" w:rsidRDefault="0069222C" w:rsidP="000E5309">
      <w:pPr>
        <w:pStyle w:val="NormalWeb"/>
        <w:numPr>
          <w:ilvl w:val="0"/>
          <w:numId w:val="2"/>
        </w:numPr>
        <w:shd w:val="clear" w:color="auto" w:fill="FFFFFF"/>
        <w:spacing w:line="276" w:lineRule="auto"/>
        <w:rPr>
          <w:rFonts w:asciiTheme="majorBidi" w:hAnsiTheme="majorBidi" w:cstheme="majorBidi"/>
        </w:rPr>
      </w:pPr>
      <w:r w:rsidRPr="00613B75">
        <w:rPr>
          <w:rFonts w:asciiTheme="majorBidi" w:hAnsiTheme="majorBidi" w:cstheme="majorBidi"/>
          <w:b/>
          <w:bCs/>
        </w:rPr>
        <w:t>Programmabilité du</w:t>
      </w:r>
      <w:r>
        <w:rPr>
          <w:rFonts w:asciiTheme="majorBidi" w:hAnsiTheme="majorBidi" w:cstheme="majorBidi"/>
          <w:b/>
          <w:bCs/>
        </w:rPr>
        <w:t xml:space="preserve"> </w:t>
      </w:r>
      <w:r w:rsidRPr="00613B75">
        <w:rPr>
          <w:rFonts w:asciiTheme="majorBidi" w:hAnsiTheme="majorBidi" w:cstheme="majorBidi"/>
          <w:b/>
          <w:bCs/>
        </w:rPr>
        <w:t>savoir</w:t>
      </w:r>
      <w:r>
        <w:rPr>
          <w:rFonts w:asciiTheme="majorBidi" w:hAnsiTheme="majorBidi" w:cstheme="majorBidi"/>
          <w:b/>
          <w:bCs/>
        </w:rPr>
        <w:t xml:space="preserve"> : </w:t>
      </w:r>
      <w:r w:rsidRPr="00EE5431">
        <w:rPr>
          <w:rFonts w:asciiTheme="majorBidi" w:hAnsiTheme="majorBidi" w:cstheme="majorBidi"/>
        </w:rPr>
        <w:t xml:space="preserve">elle est inhérente à la fonction de l’école qui est de </w:t>
      </w:r>
      <w:r w:rsidR="004D0657">
        <w:rPr>
          <w:rFonts w:asciiTheme="majorBidi" w:hAnsiTheme="majorBidi" w:cstheme="majorBidi"/>
        </w:rPr>
        <w:t xml:space="preserve">présenter les </w:t>
      </w:r>
      <w:r>
        <w:rPr>
          <w:rFonts w:asciiTheme="majorBidi" w:hAnsiTheme="majorBidi" w:cstheme="majorBidi"/>
        </w:rPr>
        <w:t xml:space="preserve">savoir dans des programmes selon une succession, c’est-à-dire organisé selon des séquences et un ordre qui le rend accessible aux apprenants. Ainsi, </w:t>
      </w:r>
      <w:r w:rsidRPr="00EE5431">
        <w:rPr>
          <w:rFonts w:asciiTheme="majorBidi" w:hAnsiTheme="majorBidi" w:cstheme="majorBidi"/>
        </w:rPr>
        <w:t>les savoirs</w:t>
      </w:r>
      <w:r>
        <w:rPr>
          <w:rFonts w:asciiTheme="majorBidi" w:hAnsiTheme="majorBidi" w:cstheme="majorBidi"/>
        </w:rPr>
        <w:t xml:space="preserve"> seront présentés dans une relation  linéaire, alors qu’à l’origine ils sont imbriqués dans un réseau complexe. </w:t>
      </w:r>
    </w:p>
    <w:p w:rsidR="0069222C" w:rsidRDefault="0069222C" w:rsidP="000E5309">
      <w:pPr>
        <w:pStyle w:val="NormalWeb"/>
        <w:numPr>
          <w:ilvl w:val="0"/>
          <w:numId w:val="2"/>
        </w:numPr>
        <w:shd w:val="clear" w:color="auto" w:fill="FFFFFF"/>
        <w:spacing w:line="276" w:lineRule="auto"/>
        <w:rPr>
          <w:rFonts w:asciiTheme="majorBidi" w:hAnsiTheme="majorBidi" w:cstheme="majorBidi"/>
          <w:b/>
          <w:bCs/>
        </w:rPr>
      </w:pPr>
      <w:r>
        <w:rPr>
          <w:rFonts w:asciiTheme="majorBidi" w:hAnsiTheme="majorBidi" w:cstheme="majorBidi"/>
          <w:b/>
          <w:bCs/>
        </w:rPr>
        <w:t xml:space="preserve">Publicité du savoir : </w:t>
      </w:r>
      <w:r>
        <w:rPr>
          <w:rFonts w:asciiTheme="majorBidi" w:hAnsiTheme="majorBidi" w:cstheme="majorBidi"/>
        </w:rPr>
        <w:t>renvoie au mode de diffusion des savoirs, notamment les savoirs à enseigner, par le biais des manuels, scolaires et des programmes et qui peuvent en donner une vision stéréotypée.</w:t>
      </w:r>
    </w:p>
    <w:p w:rsidR="0069222C" w:rsidRPr="00D5148E" w:rsidRDefault="0069222C" w:rsidP="0069222C">
      <w:pPr>
        <w:pStyle w:val="NormalWeb"/>
        <w:shd w:val="clear" w:color="auto" w:fill="FFFFFF"/>
        <w:spacing w:line="276" w:lineRule="auto"/>
        <w:rPr>
          <w:rFonts w:asciiTheme="majorBidi" w:hAnsiTheme="majorBidi" w:cstheme="majorBidi"/>
          <w:b/>
          <w:bCs/>
        </w:rPr>
      </w:pPr>
      <w:r w:rsidRPr="00D5148E">
        <w:rPr>
          <w:rFonts w:asciiTheme="majorBidi" w:hAnsiTheme="majorBidi" w:cstheme="majorBidi"/>
          <w:b/>
          <w:bCs/>
        </w:rPr>
        <w:t>En conclusion</w:t>
      </w:r>
    </w:p>
    <w:p w:rsidR="0069222C" w:rsidRPr="0016250D" w:rsidRDefault="0069222C" w:rsidP="00951606">
      <w:pPr>
        <w:ind w:firstLine="708"/>
        <w:rPr>
          <w:rFonts w:asciiTheme="majorBidi" w:hAnsiTheme="majorBidi" w:cstheme="majorBidi"/>
          <w:sz w:val="24"/>
          <w:szCs w:val="24"/>
        </w:rPr>
      </w:pPr>
      <w:r w:rsidRPr="0016250D">
        <w:rPr>
          <w:rFonts w:asciiTheme="majorBidi" w:hAnsiTheme="majorBidi" w:cstheme="majorBidi"/>
          <w:sz w:val="24"/>
          <w:szCs w:val="24"/>
        </w:rPr>
        <w:t xml:space="preserve">La notion de transposition didactique va devenir pour les différentes didactiques un outil conceptuel et analytique pertinent qui sert à décrire le processus permettant la constitution des contenus d’enseignement. Il met en évidence l’intervention des différents acteurs dans la constitution des contenus d’enseignement. </w:t>
      </w:r>
    </w:p>
    <w:p w:rsidR="0069222C" w:rsidRPr="0016250D" w:rsidRDefault="0069222C" w:rsidP="0069222C">
      <w:pPr>
        <w:pStyle w:val="NormalWeb"/>
        <w:shd w:val="clear" w:color="auto" w:fill="FFFFFF"/>
        <w:spacing w:line="276" w:lineRule="auto"/>
        <w:rPr>
          <w:rFonts w:asciiTheme="majorBidi" w:hAnsiTheme="majorBidi" w:cstheme="majorBidi"/>
        </w:rPr>
      </w:pPr>
    </w:p>
    <w:p w:rsidR="0069222C" w:rsidRPr="0016250D" w:rsidRDefault="0069222C" w:rsidP="0069222C">
      <w:pPr>
        <w:ind w:firstLine="708"/>
        <w:rPr>
          <w:rFonts w:asciiTheme="majorBidi" w:eastAsia="CMSY6" w:hAnsiTheme="majorBidi" w:cstheme="majorBidi"/>
          <w:b/>
          <w:bCs/>
          <w:sz w:val="24"/>
          <w:szCs w:val="24"/>
        </w:rPr>
      </w:pPr>
    </w:p>
    <w:p w:rsidR="0069222C" w:rsidRPr="0016250D" w:rsidRDefault="0069222C" w:rsidP="0069222C">
      <w:pPr>
        <w:rPr>
          <w:rFonts w:asciiTheme="majorBidi" w:eastAsia="CMSY6" w:hAnsiTheme="majorBidi" w:cstheme="majorBidi"/>
          <w:sz w:val="24"/>
          <w:szCs w:val="24"/>
        </w:rPr>
      </w:pPr>
    </w:p>
    <w:p w:rsidR="0069222C" w:rsidRPr="0016250D" w:rsidRDefault="0069222C" w:rsidP="0069222C">
      <w:pPr>
        <w:rPr>
          <w:rFonts w:asciiTheme="majorBidi" w:eastAsia="CMSY6" w:hAnsiTheme="majorBidi" w:cstheme="majorBidi"/>
          <w:sz w:val="24"/>
          <w:szCs w:val="24"/>
        </w:rPr>
      </w:pPr>
    </w:p>
    <w:p w:rsidR="0055391A" w:rsidRDefault="0055391A"/>
    <w:sectPr w:rsidR="0055391A" w:rsidSect="000D12E8">
      <w:footerReference w:type="default" r:id="rId10"/>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09D" w:rsidRDefault="00C5709D" w:rsidP="0069222C">
      <w:pPr>
        <w:spacing w:after="0" w:line="240" w:lineRule="auto"/>
      </w:pPr>
      <w:r>
        <w:separator/>
      </w:r>
    </w:p>
  </w:endnote>
  <w:endnote w:type="continuationSeparator" w:id="0">
    <w:p w:rsidR="00C5709D" w:rsidRDefault="00C5709D" w:rsidP="0069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SY6">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48892"/>
      <w:docPartObj>
        <w:docPartGallery w:val="Page Numbers (Bottom of Page)"/>
        <w:docPartUnique/>
      </w:docPartObj>
    </w:sdtPr>
    <w:sdtEndPr/>
    <w:sdtContent>
      <w:p w:rsidR="0042398E" w:rsidRDefault="00623D6B">
        <w:pPr>
          <w:pStyle w:val="Footer"/>
          <w:jc w:val="center"/>
        </w:pPr>
        <w:r>
          <w:fldChar w:fldCharType="begin"/>
        </w:r>
        <w:r>
          <w:instrText>PAGE   \* MERGEFORMAT</w:instrText>
        </w:r>
        <w:r>
          <w:fldChar w:fldCharType="separate"/>
        </w:r>
        <w:r w:rsidR="00174BEC">
          <w:rPr>
            <w:noProof/>
          </w:rPr>
          <w:t>1</w:t>
        </w:r>
        <w:r>
          <w:fldChar w:fldCharType="end"/>
        </w:r>
      </w:p>
    </w:sdtContent>
  </w:sdt>
  <w:p w:rsidR="0042398E" w:rsidRDefault="00C57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09D" w:rsidRDefault="00C5709D" w:rsidP="0069222C">
      <w:pPr>
        <w:spacing w:after="0" w:line="240" w:lineRule="auto"/>
      </w:pPr>
      <w:r>
        <w:separator/>
      </w:r>
    </w:p>
  </w:footnote>
  <w:footnote w:type="continuationSeparator" w:id="0">
    <w:p w:rsidR="00C5709D" w:rsidRDefault="00C5709D" w:rsidP="0069222C">
      <w:pPr>
        <w:spacing w:after="0" w:line="240" w:lineRule="auto"/>
      </w:pPr>
      <w:r>
        <w:continuationSeparator/>
      </w:r>
    </w:p>
  </w:footnote>
  <w:footnote w:id="1">
    <w:p w:rsidR="0069222C" w:rsidRPr="009240DB" w:rsidRDefault="0069222C" w:rsidP="0069222C">
      <w:pPr>
        <w:pStyle w:val="FootnoteText"/>
        <w:rPr>
          <w:rFonts w:asciiTheme="majorBidi" w:hAnsiTheme="majorBidi" w:cstheme="majorBidi"/>
        </w:rPr>
      </w:pPr>
      <w:r w:rsidRPr="009240DB">
        <w:rPr>
          <w:rStyle w:val="FootnoteReference"/>
          <w:rFonts w:asciiTheme="majorBidi" w:hAnsiTheme="majorBidi" w:cstheme="majorBidi"/>
        </w:rPr>
        <w:footnoteRef/>
      </w:r>
      <w:r w:rsidRPr="009240DB">
        <w:rPr>
          <w:rFonts w:asciiTheme="majorBidi" w:hAnsiTheme="majorBidi" w:cstheme="majorBidi"/>
        </w:rPr>
        <w:t xml:space="preserve"> Le concept de transposition didactique travaillé dans le cadre de la didactique  de</w:t>
      </w:r>
      <w:r>
        <w:rPr>
          <w:rFonts w:asciiTheme="majorBidi" w:hAnsiTheme="majorBidi" w:cstheme="majorBidi"/>
        </w:rPr>
        <w:t>s mathématiques a fait l’objet,</w:t>
      </w:r>
      <w:r w:rsidRPr="009240DB">
        <w:rPr>
          <w:rFonts w:asciiTheme="majorBidi" w:hAnsiTheme="majorBidi" w:cstheme="majorBidi"/>
        </w:rPr>
        <w:t xml:space="preserve">  dès les années 90,  d’un « nomadisme » au sein des </w:t>
      </w:r>
      <w:r>
        <w:rPr>
          <w:rFonts w:asciiTheme="majorBidi" w:hAnsiTheme="majorBidi" w:cstheme="majorBidi"/>
        </w:rPr>
        <w:t xml:space="preserve">différentes </w:t>
      </w:r>
      <w:r w:rsidRPr="009240DB">
        <w:rPr>
          <w:rFonts w:asciiTheme="majorBidi" w:hAnsiTheme="majorBidi" w:cstheme="majorBidi"/>
        </w:rPr>
        <w:t>didactiques</w:t>
      </w:r>
      <w:r>
        <w:rPr>
          <w:rFonts w:asciiTheme="majorBidi" w:hAnsiTheme="majorBidi" w:cstheme="majorBidi"/>
        </w:rPr>
        <w:t xml:space="preserve"> francophones</w:t>
      </w:r>
      <w:r w:rsidRPr="009240DB">
        <w:rPr>
          <w:rFonts w:asciiTheme="majorBidi" w:hAnsiTheme="majorBidi" w:cstheme="majorBidi"/>
        </w:rPr>
        <w:t>.</w:t>
      </w:r>
      <w:r>
        <w:rPr>
          <w:rFonts w:asciiTheme="majorBidi" w:hAnsiTheme="majorBidi" w:cstheme="majorBidi"/>
        </w:rPr>
        <w:t xml:space="preserve">  </w:t>
      </w:r>
      <w:r w:rsidRPr="009240DB">
        <w:rPr>
          <w:rFonts w:asciiTheme="majorBidi" w:hAnsiTheme="majorBidi" w:cstheme="majorBidi"/>
        </w:rPr>
        <w:t xml:space="preserve"> </w:t>
      </w:r>
    </w:p>
  </w:footnote>
  <w:footnote w:id="2">
    <w:p w:rsidR="0069222C" w:rsidRPr="009A6916" w:rsidRDefault="0069222C" w:rsidP="0069222C">
      <w:pPr>
        <w:pStyle w:val="FootnoteText"/>
        <w:rPr>
          <w:rFonts w:asciiTheme="majorBidi" w:hAnsiTheme="majorBidi" w:cstheme="majorBidi"/>
        </w:rPr>
      </w:pPr>
      <w:r w:rsidRPr="003954D1">
        <w:rPr>
          <w:rStyle w:val="FootnoteReference"/>
        </w:rPr>
        <w:footnoteRef/>
      </w:r>
      <w:r>
        <w:t xml:space="preserve"> </w:t>
      </w:r>
      <w:r w:rsidRPr="009A6916">
        <w:rPr>
          <w:rFonts w:asciiTheme="majorBidi" w:hAnsiTheme="majorBidi" w:cstheme="majorBidi"/>
        </w:rPr>
        <w:t xml:space="preserve">Chevallard, Y. (1985/1991). </w:t>
      </w:r>
      <w:r w:rsidRPr="009A6916">
        <w:rPr>
          <w:rFonts w:asciiTheme="majorBidi" w:hAnsiTheme="majorBidi" w:cstheme="majorBidi"/>
          <w:i/>
          <w:iCs/>
        </w:rPr>
        <w:t xml:space="preserve">La transposition didactique, du savoir savant au savoir enseigné, </w:t>
      </w:r>
      <w:r w:rsidRPr="009A6916">
        <w:rPr>
          <w:rFonts w:asciiTheme="majorBidi" w:hAnsiTheme="majorBidi" w:cstheme="majorBidi"/>
        </w:rPr>
        <w:t>Grenoble: la pensée sauvage, p. 39.</w:t>
      </w:r>
    </w:p>
  </w:footnote>
  <w:footnote w:id="3">
    <w:p w:rsidR="0069222C" w:rsidRPr="009A6916" w:rsidRDefault="0069222C" w:rsidP="0069222C">
      <w:pPr>
        <w:pStyle w:val="FootnoteText"/>
        <w:rPr>
          <w:rFonts w:asciiTheme="majorBidi" w:hAnsiTheme="majorBidi" w:cstheme="majorBidi"/>
        </w:rPr>
      </w:pPr>
      <w:r w:rsidRPr="009A6916">
        <w:rPr>
          <w:rStyle w:val="FootnoteReference"/>
          <w:rFonts w:asciiTheme="majorBidi" w:hAnsiTheme="majorBidi" w:cstheme="majorBidi"/>
        </w:rPr>
        <w:footnoteRef/>
      </w:r>
      <w:r>
        <w:rPr>
          <w:rFonts w:asciiTheme="majorBidi" w:hAnsiTheme="majorBidi" w:cstheme="majorBidi"/>
        </w:rPr>
        <w:t xml:space="preserve"> </w:t>
      </w:r>
      <w:r w:rsidRPr="009A6916">
        <w:rPr>
          <w:rFonts w:asciiTheme="majorBidi" w:hAnsiTheme="majorBidi" w:cstheme="majorBidi"/>
        </w:rPr>
        <w:t xml:space="preserve">Y. Reuter (ed.), </w:t>
      </w:r>
      <w:r w:rsidRPr="009A6916">
        <w:rPr>
          <w:rFonts w:asciiTheme="majorBidi" w:hAnsiTheme="majorBidi" w:cstheme="majorBidi"/>
          <w:i/>
          <w:iCs/>
        </w:rPr>
        <w:t>Dictionnaire des concepts fondamentaux des didactiques</w:t>
      </w:r>
      <w:r w:rsidRPr="009A6916">
        <w:rPr>
          <w:rFonts w:asciiTheme="majorBidi" w:hAnsiTheme="majorBidi" w:cstheme="majorBidi"/>
        </w:rPr>
        <w:t xml:space="preserve">, De Boeck, 2010, p. 226.  </w:t>
      </w:r>
    </w:p>
  </w:footnote>
  <w:footnote w:id="4">
    <w:p w:rsidR="0069222C" w:rsidRDefault="0069222C" w:rsidP="0069222C">
      <w:pPr>
        <w:pStyle w:val="FootnoteText"/>
      </w:pPr>
      <w:r>
        <w:rPr>
          <w:rStyle w:val="FootnoteReference"/>
        </w:rPr>
        <w:footnoteRef/>
      </w:r>
      <w:r>
        <w:t xml:space="preserve"> </w:t>
      </w:r>
      <w:r w:rsidRPr="00AC3C3B">
        <w:rPr>
          <w:rFonts w:asciiTheme="majorBidi" w:hAnsiTheme="majorBidi" w:cstheme="majorBidi"/>
        </w:rPr>
        <w:t xml:space="preserve">B. Rey, « Autour du mot « contenu », </w:t>
      </w:r>
      <w:r w:rsidRPr="00AC3C3B">
        <w:rPr>
          <w:rFonts w:asciiTheme="majorBidi" w:hAnsiTheme="majorBidi" w:cstheme="majorBidi"/>
          <w:i/>
          <w:iCs/>
        </w:rPr>
        <w:t>Recherche et formation</w:t>
      </w:r>
      <w:r w:rsidRPr="00AC3C3B">
        <w:rPr>
          <w:rFonts w:asciiTheme="majorBidi" w:hAnsiTheme="majorBidi" w:cstheme="majorBidi"/>
        </w:rPr>
        <w:t>, n°55, 2007, p. 127</w:t>
      </w:r>
      <w:r>
        <w:t xml:space="preserve"> </w:t>
      </w:r>
    </w:p>
  </w:footnote>
  <w:footnote w:id="5">
    <w:p w:rsidR="0069222C" w:rsidRPr="00AF6649" w:rsidRDefault="0069222C" w:rsidP="00AF6649">
      <w:pPr>
        <w:pStyle w:val="FootnoteText"/>
        <w:rPr>
          <w:rFonts w:asciiTheme="majorBidi" w:hAnsiTheme="majorBidi" w:cstheme="majorBidi"/>
        </w:rPr>
      </w:pPr>
      <w:r>
        <w:rPr>
          <w:rStyle w:val="FootnoteReference"/>
        </w:rPr>
        <w:footnoteRef/>
      </w:r>
      <w:r>
        <w:t xml:space="preserve"> </w:t>
      </w:r>
      <w:r w:rsidRPr="009A6916">
        <w:rPr>
          <w:rFonts w:asciiTheme="majorBidi" w:hAnsiTheme="majorBidi" w:cstheme="majorBidi"/>
        </w:rPr>
        <w:t xml:space="preserve">Le concept de </w:t>
      </w:r>
      <w:r w:rsidRPr="009A6916">
        <w:rPr>
          <w:rFonts w:asciiTheme="majorBidi" w:eastAsia="CMSY6" w:hAnsiTheme="majorBidi" w:cstheme="majorBidi"/>
        </w:rPr>
        <w:t>pratiques sociales de référence</w:t>
      </w:r>
      <w:r w:rsidRPr="009A6916">
        <w:rPr>
          <w:rFonts w:asciiTheme="majorBidi" w:hAnsiTheme="majorBidi" w:cstheme="majorBidi"/>
        </w:rPr>
        <w:t xml:space="preserve"> n’a pas été importé d’autres disciplines, mais introduit par la recherche didactique. </w:t>
      </w:r>
    </w:p>
  </w:footnote>
  <w:footnote w:id="6">
    <w:p w:rsidR="0069222C" w:rsidRPr="000D4AC7" w:rsidRDefault="0069222C" w:rsidP="0069222C">
      <w:pPr>
        <w:pStyle w:val="FootnoteText"/>
        <w:rPr>
          <w:rStyle w:val="FootnoteReference"/>
        </w:rPr>
      </w:pPr>
      <w:r>
        <w:rPr>
          <w:rStyle w:val="FootnoteReference"/>
        </w:rPr>
        <w:footnoteRef/>
      </w:r>
      <w:r>
        <w:t xml:space="preserve"> </w:t>
      </w:r>
      <w:r w:rsidRPr="000D4AC7">
        <w:rPr>
          <w:rFonts w:asciiTheme="majorBidi" w:hAnsiTheme="majorBidi" w:cstheme="majorBidi"/>
        </w:rPr>
        <w:t>La « noosphère » comprend des décideurs institutionnels</w:t>
      </w:r>
      <w:r>
        <w:rPr>
          <w:rFonts w:asciiTheme="majorBidi" w:hAnsiTheme="majorBidi" w:cstheme="majorBidi"/>
        </w:rPr>
        <w:t xml:space="preserve"> regroupés dans des commissions de constitution ou de révision des programmes. </w:t>
      </w:r>
      <w:r w:rsidRPr="000D4AC7">
        <w:rPr>
          <w:rStyle w:val="FootnoteReference"/>
        </w:rPr>
        <w:t xml:space="preserve"> </w:t>
      </w:r>
    </w:p>
  </w:footnote>
  <w:footnote w:id="7">
    <w:p w:rsidR="0069222C" w:rsidRPr="001F5D9B" w:rsidRDefault="0069222C" w:rsidP="0069222C">
      <w:pPr>
        <w:pStyle w:val="FootnoteText"/>
        <w:rPr>
          <w:rFonts w:asciiTheme="majorBidi" w:hAnsiTheme="majorBidi" w:cstheme="majorBidi"/>
        </w:rPr>
      </w:pPr>
      <w:r w:rsidRPr="001F5D9B">
        <w:rPr>
          <w:rStyle w:val="FootnoteReference"/>
          <w:rFonts w:asciiTheme="majorBidi" w:hAnsiTheme="majorBidi" w:cstheme="majorBidi"/>
        </w:rPr>
        <w:footnoteRef/>
      </w:r>
      <w:r w:rsidRPr="001F5D9B">
        <w:rPr>
          <w:rFonts w:asciiTheme="majorBidi" w:hAnsiTheme="majorBidi" w:cstheme="majorBidi"/>
        </w:rPr>
        <w:t xml:space="preserve"> Reuter, Y., Cohen-Azria, C., Daunay, B., Delcambre, I., &amp; Lahanier-Reuter, D. (2013). </w:t>
      </w:r>
      <w:r w:rsidRPr="001F5D9B">
        <w:rPr>
          <w:rFonts w:asciiTheme="majorBidi" w:hAnsiTheme="majorBidi" w:cstheme="majorBidi"/>
          <w:i/>
          <w:iCs/>
        </w:rPr>
        <w:t xml:space="preserve">Dictionnaire des concepts fondamentaux des didactiques. </w:t>
      </w:r>
      <w:r w:rsidRPr="001F5D9B">
        <w:rPr>
          <w:rFonts w:asciiTheme="majorBidi" w:hAnsiTheme="majorBidi" w:cstheme="majorBidi"/>
        </w:rPr>
        <w:t xml:space="preserve">Bruxelles: De Boeck, p. 147. </w:t>
      </w:r>
    </w:p>
  </w:footnote>
  <w:footnote w:id="8">
    <w:p w:rsidR="0069222C" w:rsidRPr="00AF6649" w:rsidRDefault="0069222C" w:rsidP="00AF6649">
      <w:pPr>
        <w:pStyle w:val="FootnoteText"/>
        <w:rPr>
          <w:rFonts w:asciiTheme="majorBidi" w:hAnsiTheme="majorBidi" w:cstheme="majorBidi"/>
          <w:vertAlign w:val="superscript"/>
        </w:rPr>
      </w:pPr>
      <w:r>
        <w:rPr>
          <w:rStyle w:val="FootnoteReference"/>
        </w:rPr>
        <w:footnoteRef/>
      </w:r>
      <w:r>
        <w:t xml:space="preserve"> </w:t>
      </w:r>
      <w:r w:rsidRPr="00B16E97">
        <w:rPr>
          <w:rFonts w:asciiTheme="majorBidi" w:hAnsiTheme="majorBidi" w:cstheme="majorBidi"/>
        </w:rPr>
        <w:t>J-P. Bronckart et J-L. Chiss</w:t>
      </w:r>
      <w:r>
        <w:rPr>
          <w:rFonts w:asciiTheme="majorBidi" w:hAnsiTheme="majorBidi" w:cstheme="majorBidi"/>
        </w:rPr>
        <w:t xml:space="preserve">, « Didactique des disciplines », </w:t>
      </w:r>
      <w:r w:rsidRPr="00B16E97">
        <w:rPr>
          <w:rFonts w:asciiTheme="majorBidi" w:hAnsiTheme="majorBidi" w:cstheme="majorBidi"/>
          <w:i/>
          <w:iCs/>
        </w:rPr>
        <w:t>Encyclopédia Universalis</w:t>
      </w:r>
      <w:r>
        <w:rPr>
          <w:rFonts w:asciiTheme="majorBidi" w:hAnsiTheme="majorBidi" w:cstheme="majorBidi"/>
        </w:rPr>
        <w:t xml:space="preserve">, 2002, </w:t>
      </w:r>
      <w:hyperlink r:id="rId1" w:history="1">
        <w:r w:rsidRPr="00043245">
          <w:rPr>
            <w:rStyle w:val="Hyperlink"/>
            <w:rFonts w:asciiTheme="majorBidi" w:hAnsiTheme="majorBidi" w:cstheme="majorBidi"/>
          </w:rPr>
          <w:t>http://archive-ouverte.unige:37505</w:t>
        </w:r>
      </w:hyperlink>
      <w:r>
        <w:rPr>
          <w:rFonts w:asciiTheme="majorBidi" w:hAnsiTheme="majorBidi" w:cstheme="majorBidi"/>
        </w:rPr>
        <w:t xml:space="preserve"> </w:t>
      </w:r>
      <w:r w:rsidRPr="00B16E97">
        <w:rPr>
          <w:rStyle w:val="FootnoteReference"/>
          <w:rFonts w:asciiTheme="majorBidi" w:hAnsiTheme="majorBidi" w:cstheme="majorBidi"/>
        </w:rPr>
        <w:t xml:space="preserve"> </w:t>
      </w:r>
    </w:p>
  </w:footnote>
  <w:footnote w:id="9">
    <w:p w:rsidR="00AF6649" w:rsidRPr="00AF6649" w:rsidRDefault="00AF6649" w:rsidP="00AF6649">
      <w:pPr>
        <w:shd w:val="clear" w:color="auto" w:fill="FFFFFF"/>
        <w:rPr>
          <w:rFonts w:ascii="Times New Roman" w:eastAsia="Times New Roman" w:hAnsi="Times New Roman" w:cs="Times New Roman"/>
          <w:sz w:val="20"/>
          <w:szCs w:val="20"/>
          <w:lang w:eastAsia="fr-FR"/>
        </w:rPr>
      </w:pPr>
      <w:r w:rsidRPr="00AF6649">
        <w:rPr>
          <w:rStyle w:val="FootnoteReference"/>
          <w:sz w:val="20"/>
          <w:szCs w:val="20"/>
        </w:rPr>
        <w:footnoteRef/>
      </w:r>
      <w:r w:rsidRPr="00AF6649">
        <w:rPr>
          <w:sz w:val="20"/>
          <w:szCs w:val="20"/>
        </w:rPr>
        <w:t xml:space="preserve"> </w:t>
      </w:r>
      <w:r w:rsidRPr="00AF6649">
        <w:rPr>
          <w:rFonts w:ascii="Times New Roman" w:eastAsia="Times New Roman" w:hAnsi="Times New Roman" w:cs="Times New Roman"/>
          <w:sz w:val="20"/>
          <w:szCs w:val="20"/>
          <w:lang w:eastAsia="fr-FR"/>
        </w:rPr>
        <w:t xml:space="preserve">Audigier  François,  «Savoirs  enseignés  -  savoirs  savants.  Autour  de  la  problématique  du  colloque», dans Troisième rencontre nationale sur la didactique de l’histoire, de la géographie et des sciences économiques et sociales. </w:t>
      </w:r>
      <w:r w:rsidRPr="00AF6649">
        <w:rPr>
          <w:rFonts w:ascii="Times New Roman" w:eastAsia="Times New Roman" w:hAnsi="Times New Roman" w:cs="Times New Roman"/>
          <w:i/>
          <w:iCs/>
          <w:sz w:val="20"/>
          <w:szCs w:val="20"/>
          <w:lang w:eastAsia="fr-FR"/>
        </w:rPr>
        <w:t>Actes du colloque. Savoirs enseignés - savoirs savants</w:t>
      </w:r>
      <w:r w:rsidRPr="00AF6649">
        <w:rPr>
          <w:rFonts w:ascii="Times New Roman" w:eastAsia="Times New Roman" w:hAnsi="Times New Roman" w:cs="Times New Roman"/>
          <w:sz w:val="20"/>
          <w:szCs w:val="20"/>
          <w:lang w:eastAsia="fr-FR"/>
        </w:rPr>
        <w:t xml:space="preserve">, Paris, INRP, 1988, pp. 13-15 ; 55-69. </w:t>
      </w:r>
    </w:p>
    <w:p w:rsidR="00AF6649" w:rsidRPr="00AF6649" w:rsidRDefault="00AF6649">
      <w:pPr>
        <w:pStyle w:val="FootnoteText"/>
      </w:pPr>
    </w:p>
  </w:footnote>
  <w:footnote w:id="10">
    <w:p w:rsidR="0069222C" w:rsidRPr="00333A41" w:rsidRDefault="0069222C" w:rsidP="0069222C">
      <w:pPr>
        <w:pStyle w:val="FootnoteText"/>
        <w:rPr>
          <w:rFonts w:asciiTheme="majorBidi" w:hAnsiTheme="majorBidi" w:cstheme="majorBidi"/>
        </w:rPr>
      </w:pPr>
      <w:r w:rsidRPr="00333A41">
        <w:rPr>
          <w:rStyle w:val="FootnoteReference"/>
          <w:rFonts w:asciiTheme="majorBidi" w:hAnsiTheme="majorBidi" w:cstheme="majorBidi"/>
        </w:rPr>
        <w:footnoteRef/>
      </w:r>
      <w:r w:rsidRPr="00333A41">
        <w:rPr>
          <w:rFonts w:asciiTheme="majorBidi" w:hAnsiTheme="majorBidi" w:cstheme="majorBidi"/>
        </w:rPr>
        <w:t xml:space="preserve"> M. Thouin, «La didactique : essentielle, mais menacée », </w:t>
      </w:r>
      <w:r w:rsidRPr="00333A41">
        <w:rPr>
          <w:rFonts w:asciiTheme="majorBidi" w:hAnsiTheme="majorBidi" w:cstheme="majorBidi"/>
          <w:i/>
          <w:iCs/>
        </w:rPr>
        <w:t>Didactique</w:t>
      </w:r>
      <w:r w:rsidRPr="00333A41">
        <w:rPr>
          <w:rFonts w:asciiTheme="majorBidi" w:hAnsiTheme="majorBidi" w:cstheme="majorBidi"/>
        </w:rPr>
        <w:t xml:space="preserve">, Vol. 1, n°1, 2020, p. 72.    </w:t>
      </w:r>
    </w:p>
  </w:footnote>
  <w:footnote w:id="11">
    <w:p w:rsidR="0069222C" w:rsidRPr="005318B3" w:rsidRDefault="0069222C" w:rsidP="0069222C">
      <w:pPr>
        <w:pStyle w:val="FootnoteText"/>
        <w:rPr>
          <w:rFonts w:asciiTheme="majorBidi" w:hAnsiTheme="majorBidi" w:cstheme="majorBidi"/>
        </w:rPr>
      </w:pPr>
      <w:r w:rsidRPr="005318B3">
        <w:rPr>
          <w:rStyle w:val="FootnoteReference"/>
          <w:rFonts w:asciiTheme="majorBidi" w:hAnsiTheme="majorBidi" w:cstheme="majorBidi"/>
        </w:rPr>
        <w:footnoteRef/>
      </w:r>
      <w:r>
        <w:rPr>
          <w:rFonts w:asciiTheme="majorBidi" w:hAnsiTheme="majorBidi" w:cstheme="majorBidi"/>
        </w:rPr>
        <w:t xml:space="preserve"> Cité dans M. Develay</w:t>
      </w:r>
      <w:r w:rsidRPr="005318B3">
        <w:rPr>
          <w:rFonts w:asciiTheme="majorBidi" w:hAnsiTheme="majorBidi" w:cstheme="majorBidi"/>
        </w:rPr>
        <w:t xml:space="preserve">, </w:t>
      </w:r>
      <w:r w:rsidRPr="005318B3">
        <w:rPr>
          <w:rFonts w:asciiTheme="majorBidi" w:hAnsiTheme="majorBidi" w:cstheme="majorBidi"/>
          <w:i/>
          <w:iCs/>
        </w:rPr>
        <w:t>De l’apprentissage à l’enseignement, Pour une épistémologie scolaire</w:t>
      </w:r>
      <w:r w:rsidRPr="005318B3">
        <w:rPr>
          <w:rFonts w:asciiTheme="majorBidi" w:hAnsiTheme="majorBidi" w:cstheme="majorBidi"/>
        </w:rPr>
        <w:t xml:space="preserve">, ESF éditeur, Paris, 1992, pp. 20- 22. </w:t>
      </w:r>
    </w:p>
  </w:footnote>
  <w:footnote w:id="12">
    <w:p w:rsidR="0069222C" w:rsidRPr="005318B3" w:rsidRDefault="0069222C" w:rsidP="0069222C">
      <w:pPr>
        <w:pStyle w:val="FootnoteText"/>
        <w:rPr>
          <w:rFonts w:asciiTheme="majorBidi" w:hAnsiTheme="majorBidi" w:cstheme="majorBidi"/>
        </w:rPr>
      </w:pPr>
      <w:r w:rsidRPr="005318B3">
        <w:rPr>
          <w:rStyle w:val="FootnoteReference"/>
          <w:rFonts w:asciiTheme="majorBidi" w:hAnsiTheme="majorBidi" w:cstheme="majorBidi"/>
        </w:rPr>
        <w:footnoteRef/>
      </w:r>
      <w:r w:rsidRPr="005318B3">
        <w:rPr>
          <w:rFonts w:asciiTheme="majorBidi" w:hAnsiTheme="majorBidi" w:cstheme="majorBidi"/>
        </w:rPr>
        <w:t xml:space="preserve"> J-C. Verhaeghe, J L. Wolfs, X. Simon, D. Compère, </w:t>
      </w:r>
      <w:r w:rsidRPr="005318B3">
        <w:rPr>
          <w:rFonts w:asciiTheme="majorBidi" w:hAnsiTheme="majorBidi" w:cstheme="majorBidi"/>
          <w:i/>
          <w:iCs/>
        </w:rPr>
        <w:t>Pratiquer l’épistémologie. Un manuel d’initiation pour les maîtres et formateurs</w:t>
      </w:r>
      <w:r w:rsidRPr="005318B3">
        <w:rPr>
          <w:rFonts w:asciiTheme="majorBidi" w:hAnsiTheme="majorBidi" w:cstheme="majorBidi"/>
        </w:rPr>
        <w:t xml:space="preserve">, De Boeck Université, 2004, p. 71.  </w:t>
      </w:r>
    </w:p>
  </w:footnote>
  <w:footnote w:id="13">
    <w:p w:rsidR="0069222C" w:rsidRPr="009C17D0" w:rsidRDefault="0069222C" w:rsidP="0069222C">
      <w:pPr>
        <w:pStyle w:val="FootnoteText"/>
        <w:rPr>
          <w:rFonts w:asciiTheme="majorBidi" w:hAnsiTheme="majorBidi" w:cstheme="majorBidi"/>
        </w:rPr>
      </w:pPr>
      <w:r w:rsidRPr="009C17D0">
        <w:rPr>
          <w:rStyle w:val="FootnoteReference"/>
          <w:rFonts w:asciiTheme="majorBidi" w:hAnsiTheme="majorBidi" w:cstheme="majorBidi"/>
        </w:rPr>
        <w:footnoteRef/>
      </w:r>
      <w:r w:rsidRPr="009C17D0">
        <w:rPr>
          <w:rFonts w:asciiTheme="majorBidi" w:hAnsiTheme="majorBidi" w:cstheme="majorBidi"/>
        </w:rPr>
        <w:t xml:space="preserve"> B. Rey, « Autour du mot « contenu », </w:t>
      </w:r>
      <w:r w:rsidRPr="009C17D0">
        <w:rPr>
          <w:rFonts w:asciiTheme="majorBidi" w:hAnsiTheme="majorBidi" w:cstheme="majorBidi"/>
          <w:i/>
          <w:iCs/>
        </w:rPr>
        <w:t>Recherche et formation</w:t>
      </w:r>
      <w:r w:rsidRPr="009C17D0">
        <w:rPr>
          <w:rFonts w:asciiTheme="majorBidi" w:hAnsiTheme="majorBidi" w:cstheme="majorBidi"/>
        </w:rPr>
        <w:t xml:space="preserve">, n°55, 2007, p. 125.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4F20"/>
    <w:multiLevelType w:val="hybridMultilevel"/>
    <w:tmpl w:val="D248946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945F4E"/>
    <w:multiLevelType w:val="hybridMultilevel"/>
    <w:tmpl w:val="AD5E73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2C"/>
    <w:rsid w:val="000E5309"/>
    <w:rsid w:val="00174BEC"/>
    <w:rsid w:val="004D0657"/>
    <w:rsid w:val="0055391A"/>
    <w:rsid w:val="00584899"/>
    <w:rsid w:val="00623D6B"/>
    <w:rsid w:val="0069222C"/>
    <w:rsid w:val="00951606"/>
    <w:rsid w:val="00AF6649"/>
    <w:rsid w:val="00C5709D"/>
    <w:rsid w:val="00F85661"/>
    <w:rsid w:val="00FE01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9222C"/>
    <w:pPr>
      <w:spacing w:after="0" w:line="240" w:lineRule="auto"/>
    </w:pPr>
    <w:rPr>
      <w:sz w:val="20"/>
      <w:szCs w:val="20"/>
    </w:rPr>
  </w:style>
  <w:style w:type="character" w:customStyle="1" w:styleId="FootnoteTextChar">
    <w:name w:val="Footnote Text Char"/>
    <w:basedOn w:val="DefaultParagraphFont"/>
    <w:link w:val="FootnoteText"/>
    <w:uiPriority w:val="99"/>
    <w:rsid w:val="0069222C"/>
    <w:rPr>
      <w:sz w:val="20"/>
      <w:szCs w:val="20"/>
    </w:rPr>
  </w:style>
  <w:style w:type="character" w:styleId="FootnoteReference">
    <w:name w:val="footnote reference"/>
    <w:basedOn w:val="DefaultParagraphFont"/>
    <w:uiPriority w:val="99"/>
    <w:semiHidden/>
    <w:unhideWhenUsed/>
    <w:rsid w:val="0069222C"/>
    <w:rPr>
      <w:vertAlign w:val="superscript"/>
    </w:rPr>
  </w:style>
  <w:style w:type="paragraph" w:styleId="Footer">
    <w:name w:val="footer"/>
    <w:basedOn w:val="Normal"/>
    <w:link w:val="FooterChar"/>
    <w:uiPriority w:val="99"/>
    <w:unhideWhenUsed/>
    <w:rsid w:val="006922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222C"/>
  </w:style>
  <w:style w:type="paragraph" w:styleId="NormalWeb">
    <w:name w:val="Normal (Web)"/>
    <w:basedOn w:val="Normal"/>
    <w:uiPriority w:val="99"/>
    <w:unhideWhenUsed/>
    <w:rsid w:val="006922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uiPriority w:val="99"/>
    <w:unhideWhenUsed/>
    <w:rsid w:val="0069222C"/>
    <w:rPr>
      <w:color w:val="0000FF"/>
      <w:u w:val="single"/>
    </w:rPr>
  </w:style>
  <w:style w:type="paragraph" w:styleId="BalloonText">
    <w:name w:val="Balloon Text"/>
    <w:basedOn w:val="Normal"/>
    <w:link w:val="BalloonTextChar"/>
    <w:uiPriority w:val="99"/>
    <w:semiHidden/>
    <w:unhideWhenUsed/>
    <w:rsid w:val="00692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22C"/>
    <w:rPr>
      <w:rFonts w:ascii="Tahoma" w:hAnsi="Tahoma" w:cs="Tahoma"/>
      <w:sz w:val="16"/>
      <w:szCs w:val="16"/>
    </w:rPr>
  </w:style>
  <w:style w:type="paragraph" w:styleId="ListParagraph">
    <w:name w:val="List Paragraph"/>
    <w:basedOn w:val="Normal"/>
    <w:uiPriority w:val="34"/>
    <w:qFormat/>
    <w:rsid w:val="000E53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9222C"/>
    <w:pPr>
      <w:spacing w:after="0" w:line="240" w:lineRule="auto"/>
    </w:pPr>
    <w:rPr>
      <w:sz w:val="20"/>
      <w:szCs w:val="20"/>
    </w:rPr>
  </w:style>
  <w:style w:type="character" w:customStyle="1" w:styleId="FootnoteTextChar">
    <w:name w:val="Footnote Text Char"/>
    <w:basedOn w:val="DefaultParagraphFont"/>
    <w:link w:val="FootnoteText"/>
    <w:uiPriority w:val="99"/>
    <w:rsid w:val="0069222C"/>
    <w:rPr>
      <w:sz w:val="20"/>
      <w:szCs w:val="20"/>
    </w:rPr>
  </w:style>
  <w:style w:type="character" w:styleId="FootnoteReference">
    <w:name w:val="footnote reference"/>
    <w:basedOn w:val="DefaultParagraphFont"/>
    <w:uiPriority w:val="99"/>
    <w:semiHidden/>
    <w:unhideWhenUsed/>
    <w:rsid w:val="0069222C"/>
    <w:rPr>
      <w:vertAlign w:val="superscript"/>
    </w:rPr>
  </w:style>
  <w:style w:type="paragraph" w:styleId="Footer">
    <w:name w:val="footer"/>
    <w:basedOn w:val="Normal"/>
    <w:link w:val="FooterChar"/>
    <w:uiPriority w:val="99"/>
    <w:unhideWhenUsed/>
    <w:rsid w:val="006922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222C"/>
  </w:style>
  <w:style w:type="paragraph" w:styleId="NormalWeb">
    <w:name w:val="Normal (Web)"/>
    <w:basedOn w:val="Normal"/>
    <w:uiPriority w:val="99"/>
    <w:unhideWhenUsed/>
    <w:rsid w:val="006922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uiPriority w:val="99"/>
    <w:unhideWhenUsed/>
    <w:rsid w:val="0069222C"/>
    <w:rPr>
      <w:color w:val="0000FF"/>
      <w:u w:val="single"/>
    </w:rPr>
  </w:style>
  <w:style w:type="paragraph" w:styleId="BalloonText">
    <w:name w:val="Balloon Text"/>
    <w:basedOn w:val="Normal"/>
    <w:link w:val="BalloonTextChar"/>
    <w:uiPriority w:val="99"/>
    <w:semiHidden/>
    <w:unhideWhenUsed/>
    <w:rsid w:val="00692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22C"/>
    <w:rPr>
      <w:rFonts w:ascii="Tahoma" w:hAnsi="Tahoma" w:cs="Tahoma"/>
      <w:sz w:val="16"/>
      <w:szCs w:val="16"/>
    </w:rPr>
  </w:style>
  <w:style w:type="paragraph" w:styleId="ListParagraph">
    <w:name w:val="List Paragraph"/>
    <w:basedOn w:val="Normal"/>
    <w:uiPriority w:val="34"/>
    <w:qFormat/>
    <w:rsid w:val="000E5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8990">
      <w:bodyDiv w:val="1"/>
      <w:marLeft w:val="0"/>
      <w:marRight w:val="0"/>
      <w:marTop w:val="0"/>
      <w:marBottom w:val="0"/>
      <w:divBdr>
        <w:top w:val="none" w:sz="0" w:space="0" w:color="auto"/>
        <w:left w:val="none" w:sz="0" w:space="0" w:color="auto"/>
        <w:bottom w:val="none" w:sz="0" w:space="0" w:color="auto"/>
        <w:right w:val="none" w:sz="0" w:space="0" w:color="auto"/>
      </w:divBdr>
      <w:divsChild>
        <w:div w:id="219681318">
          <w:marLeft w:val="0"/>
          <w:marRight w:val="0"/>
          <w:marTop w:val="0"/>
          <w:marBottom w:val="0"/>
          <w:divBdr>
            <w:top w:val="none" w:sz="0" w:space="0" w:color="auto"/>
            <w:left w:val="none" w:sz="0" w:space="0" w:color="auto"/>
            <w:bottom w:val="none" w:sz="0" w:space="0" w:color="auto"/>
            <w:right w:val="none" w:sz="0" w:space="0" w:color="auto"/>
          </w:divBdr>
        </w:div>
        <w:div w:id="1467695838">
          <w:marLeft w:val="0"/>
          <w:marRight w:val="0"/>
          <w:marTop w:val="0"/>
          <w:marBottom w:val="0"/>
          <w:divBdr>
            <w:top w:val="none" w:sz="0" w:space="0" w:color="auto"/>
            <w:left w:val="none" w:sz="0" w:space="0" w:color="auto"/>
            <w:bottom w:val="none" w:sz="0" w:space="0" w:color="auto"/>
            <w:right w:val="none" w:sz="0" w:space="0" w:color="auto"/>
          </w:divBdr>
        </w:div>
        <w:div w:id="1487434539">
          <w:marLeft w:val="0"/>
          <w:marRight w:val="0"/>
          <w:marTop w:val="0"/>
          <w:marBottom w:val="0"/>
          <w:divBdr>
            <w:top w:val="none" w:sz="0" w:space="0" w:color="auto"/>
            <w:left w:val="none" w:sz="0" w:space="0" w:color="auto"/>
            <w:bottom w:val="none" w:sz="0" w:space="0" w:color="auto"/>
            <w:right w:val="none" w:sz="0" w:space="0" w:color="auto"/>
          </w:divBdr>
        </w:div>
        <w:div w:id="1905796835">
          <w:marLeft w:val="0"/>
          <w:marRight w:val="0"/>
          <w:marTop w:val="0"/>
          <w:marBottom w:val="0"/>
          <w:divBdr>
            <w:top w:val="none" w:sz="0" w:space="0" w:color="auto"/>
            <w:left w:val="none" w:sz="0" w:space="0" w:color="auto"/>
            <w:bottom w:val="none" w:sz="0" w:space="0" w:color="auto"/>
            <w:right w:val="none" w:sz="0" w:space="0" w:color="auto"/>
          </w:divBdr>
        </w:div>
        <w:div w:id="1426421035">
          <w:marLeft w:val="0"/>
          <w:marRight w:val="0"/>
          <w:marTop w:val="0"/>
          <w:marBottom w:val="0"/>
          <w:divBdr>
            <w:top w:val="none" w:sz="0" w:space="0" w:color="auto"/>
            <w:left w:val="none" w:sz="0" w:space="0" w:color="auto"/>
            <w:bottom w:val="none" w:sz="0" w:space="0" w:color="auto"/>
            <w:right w:val="none" w:sz="0" w:space="0" w:color="auto"/>
          </w:divBdr>
        </w:div>
        <w:div w:id="712929612">
          <w:marLeft w:val="0"/>
          <w:marRight w:val="0"/>
          <w:marTop w:val="0"/>
          <w:marBottom w:val="0"/>
          <w:divBdr>
            <w:top w:val="none" w:sz="0" w:space="0" w:color="auto"/>
            <w:left w:val="none" w:sz="0" w:space="0" w:color="auto"/>
            <w:bottom w:val="none" w:sz="0" w:space="0" w:color="auto"/>
            <w:right w:val="none" w:sz="0" w:space="0" w:color="auto"/>
          </w:divBdr>
        </w:div>
        <w:div w:id="645359457">
          <w:marLeft w:val="0"/>
          <w:marRight w:val="0"/>
          <w:marTop w:val="0"/>
          <w:marBottom w:val="0"/>
          <w:divBdr>
            <w:top w:val="none" w:sz="0" w:space="0" w:color="auto"/>
            <w:left w:val="none" w:sz="0" w:space="0" w:color="auto"/>
            <w:bottom w:val="none" w:sz="0" w:space="0" w:color="auto"/>
            <w:right w:val="none" w:sz="0" w:space="0" w:color="auto"/>
          </w:divBdr>
        </w:div>
        <w:div w:id="165753111">
          <w:marLeft w:val="0"/>
          <w:marRight w:val="0"/>
          <w:marTop w:val="0"/>
          <w:marBottom w:val="0"/>
          <w:divBdr>
            <w:top w:val="none" w:sz="0" w:space="0" w:color="auto"/>
            <w:left w:val="none" w:sz="0" w:space="0" w:color="auto"/>
            <w:bottom w:val="none" w:sz="0" w:space="0" w:color="auto"/>
            <w:right w:val="none" w:sz="0" w:space="0" w:color="auto"/>
          </w:divBdr>
        </w:div>
        <w:div w:id="1261329545">
          <w:marLeft w:val="0"/>
          <w:marRight w:val="0"/>
          <w:marTop w:val="0"/>
          <w:marBottom w:val="0"/>
          <w:divBdr>
            <w:top w:val="none" w:sz="0" w:space="0" w:color="auto"/>
            <w:left w:val="none" w:sz="0" w:space="0" w:color="auto"/>
            <w:bottom w:val="none" w:sz="0" w:space="0" w:color="auto"/>
            <w:right w:val="none" w:sz="0" w:space="0" w:color="auto"/>
          </w:divBdr>
        </w:div>
        <w:div w:id="620647817">
          <w:marLeft w:val="0"/>
          <w:marRight w:val="0"/>
          <w:marTop w:val="0"/>
          <w:marBottom w:val="0"/>
          <w:divBdr>
            <w:top w:val="none" w:sz="0" w:space="0" w:color="auto"/>
            <w:left w:val="none" w:sz="0" w:space="0" w:color="auto"/>
            <w:bottom w:val="none" w:sz="0" w:space="0" w:color="auto"/>
            <w:right w:val="none" w:sz="0" w:space="0" w:color="auto"/>
          </w:divBdr>
        </w:div>
      </w:divsChild>
    </w:div>
    <w:div w:id="833686185">
      <w:bodyDiv w:val="1"/>
      <w:marLeft w:val="0"/>
      <w:marRight w:val="0"/>
      <w:marTop w:val="0"/>
      <w:marBottom w:val="0"/>
      <w:divBdr>
        <w:top w:val="none" w:sz="0" w:space="0" w:color="auto"/>
        <w:left w:val="none" w:sz="0" w:space="0" w:color="auto"/>
        <w:bottom w:val="none" w:sz="0" w:space="0" w:color="auto"/>
        <w:right w:val="none" w:sz="0" w:space="0" w:color="auto"/>
      </w:divBdr>
      <w:divsChild>
        <w:div w:id="1056003101">
          <w:marLeft w:val="0"/>
          <w:marRight w:val="0"/>
          <w:marTop w:val="0"/>
          <w:marBottom w:val="0"/>
          <w:divBdr>
            <w:top w:val="none" w:sz="0" w:space="0" w:color="auto"/>
            <w:left w:val="none" w:sz="0" w:space="0" w:color="auto"/>
            <w:bottom w:val="none" w:sz="0" w:space="0" w:color="auto"/>
            <w:right w:val="none" w:sz="0" w:space="0" w:color="auto"/>
          </w:divBdr>
        </w:div>
        <w:div w:id="169950301">
          <w:marLeft w:val="0"/>
          <w:marRight w:val="0"/>
          <w:marTop w:val="0"/>
          <w:marBottom w:val="0"/>
          <w:divBdr>
            <w:top w:val="none" w:sz="0" w:space="0" w:color="auto"/>
            <w:left w:val="none" w:sz="0" w:space="0" w:color="auto"/>
            <w:bottom w:val="none" w:sz="0" w:space="0" w:color="auto"/>
            <w:right w:val="none" w:sz="0" w:space="0" w:color="auto"/>
          </w:divBdr>
        </w:div>
        <w:div w:id="1755197394">
          <w:marLeft w:val="0"/>
          <w:marRight w:val="0"/>
          <w:marTop w:val="0"/>
          <w:marBottom w:val="0"/>
          <w:divBdr>
            <w:top w:val="none" w:sz="0" w:space="0" w:color="auto"/>
            <w:left w:val="none" w:sz="0" w:space="0" w:color="auto"/>
            <w:bottom w:val="none" w:sz="0" w:space="0" w:color="auto"/>
            <w:right w:val="none" w:sz="0" w:space="0" w:color="auto"/>
          </w:divBdr>
        </w:div>
        <w:div w:id="624458922">
          <w:marLeft w:val="0"/>
          <w:marRight w:val="0"/>
          <w:marTop w:val="0"/>
          <w:marBottom w:val="0"/>
          <w:divBdr>
            <w:top w:val="none" w:sz="0" w:space="0" w:color="auto"/>
            <w:left w:val="none" w:sz="0" w:space="0" w:color="auto"/>
            <w:bottom w:val="none" w:sz="0" w:space="0" w:color="auto"/>
            <w:right w:val="none" w:sz="0" w:space="0" w:color="auto"/>
          </w:divBdr>
        </w:div>
        <w:div w:id="982542047">
          <w:marLeft w:val="0"/>
          <w:marRight w:val="0"/>
          <w:marTop w:val="0"/>
          <w:marBottom w:val="0"/>
          <w:divBdr>
            <w:top w:val="none" w:sz="0" w:space="0" w:color="auto"/>
            <w:left w:val="none" w:sz="0" w:space="0" w:color="auto"/>
            <w:bottom w:val="none" w:sz="0" w:space="0" w:color="auto"/>
            <w:right w:val="none" w:sz="0" w:space="0" w:color="auto"/>
          </w:divBdr>
        </w:div>
        <w:div w:id="618797707">
          <w:marLeft w:val="0"/>
          <w:marRight w:val="0"/>
          <w:marTop w:val="0"/>
          <w:marBottom w:val="0"/>
          <w:divBdr>
            <w:top w:val="none" w:sz="0" w:space="0" w:color="auto"/>
            <w:left w:val="none" w:sz="0" w:space="0" w:color="auto"/>
            <w:bottom w:val="none" w:sz="0" w:space="0" w:color="auto"/>
            <w:right w:val="none" w:sz="0" w:space="0" w:color="auto"/>
          </w:divBdr>
        </w:div>
        <w:div w:id="1636253510">
          <w:marLeft w:val="0"/>
          <w:marRight w:val="0"/>
          <w:marTop w:val="0"/>
          <w:marBottom w:val="0"/>
          <w:divBdr>
            <w:top w:val="none" w:sz="0" w:space="0" w:color="auto"/>
            <w:left w:val="none" w:sz="0" w:space="0" w:color="auto"/>
            <w:bottom w:val="none" w:sz="0" w:space="0" w:color="auto"/>
            <w:right w:val="none" w:sz="0" w:space="0" w:color="auto"/>
          </w:divBdr>
        </w:div>
        <w:div w:id="7949218">
          <w:marLeft w:val="0"/>
          <w:marRight w:val="0"/>
          <w:marTop w:val="0"/>
          <w:marBottom w:val="0"/>
          <w:divBdr>
            <w:top w:val="none" w:sz="0" w:space="0" w:color="auto"/>
            <w:left w:val="none" w:sz="0" w:space="0" w:color="auto"/>
            <w:bottom w:val="none" w:sz="0" w:space="0" w:color="auto"/>
            <w:right w:val="none" w:sz="0" w:space="0" w:color="auto"/>
          </w:divBdr>
        </w:div>
        <w:div w:id="396170800">
          <w:marLeft w:val="0"/>
          <w:marRight w:val="0"/>
          <w:marTop w:val="0"/>
          <w:marBottom w:val="0"/>
          <w:divBdr>
            <w:top w:val="none" w:sz="0" w:space="0" w:color="auto"/>
            <w:left w:val="none" w:sz="0" w:space="0" w:color="auto"/>
            <w:bottom w:val="none" w:sz="0" w:space="0" w:color="auto"/>
            <w:right w:val="none" w:sz="0" w:space="0" w:color="auto"/>
          </w:divBdr>
        </w:div>
        <w:div w:id="812214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archive-ouverte.unige:37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5AFD7-4CDE-4E8F-9C24-304F60DF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1541</Words>
  <Characters>8480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gamer</dc:creator>
  <cp:lastModifiedBy>pc gamer</cp:lastModifiedBy>
  <cp:revision>2</cp:revision>
  <dcterms:created xsi:type="dcterms:W3CDTF">2024-03-02T19:24:00Z</dcterms:created>
  <dcterms:modified xsi:type="dcterms:W3CDTF">2024-03-02T19:24:00Z</dcterms:modified>
</cp:coreProperties>
</file>