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D490D" w14:textId="195B8750" w:rsidR="003C4022" w:rsidRPr="00036565" w:rsidRDefault="003C4022" w:rsidP="00563823">
      <w:pPr>
        <w:pStyle w:val="ListParagraph"/>
        <w:bidi/>
        <w:spacing w:after="0" w:line="276" w:lineRule="auto"/>
        <w:ind w:left="0"/>
        <w:jc w:val="center"/>
        <w:rPr>
          <w:rFonts w:ascii="Traditional Arabic" w:hAnsi="Traditional Arabic" w:cs="Traditional Arabic"/>
          <w:b/>
          <w:bCs/>
          <w:sz w:val="32"/>
          <w:szCs w:val="32"/>
        </w:rPr>
      </w:pPr>
      <w:r w:rsidRPr="00036565">
        <w:rPr>
          <w:rFonts w:ascii="Traditional Arabic" w:hAnsi="Traditional Arabic" w:cs="Traditional Arabic"/>
          <w:b/>
          <w:bCs/>
          <w:sz w:val="32"/>
          <w:szCs w:val="32"/>
          <w:rtl/>
          <w:lang w:bidi="ar-EG"/>
        </w:rPr>
        <w:t xml:space="preserve">المحاضرة </w:t>
      </w:r>
      <w:r>
        <w:rPr>
          <w:rFonts w:ascii="Traditional Arabic" w:hAnsi="Traditional Arabic" w:cs="Traditional Arabic" w:hint="cs"/>
          <w:b/>
          <w:bCs/>
          <w:sz w:val="32"/>
          <w:szCs w:val="32"/>
          <w:rtl/>
          <w:lang w:bidi="ar-EG"/>
        </w:rPr>
        <w:t>الثالثة</w:t>
      </w:r>
      <w:r w:rsidRPr="00036565">
        <w:rPr>
          <w:rFonts w:ascii="Traditional Arabic" w:hAnsi="Traditional Arabic" w:cs="Traditional Arabic"/>
          <w:b/>
          <w:bCs/>
          <w:sz w:val="32"/>
          <w:szCs w:val="32"/>
          <w:rtl/>
          <w:lang w:bidi="ar-EG"/>
        </w:rPr>
        <w:t xml:space="preserve">: </w:t>
      </w:r>
      <w:r w:rsidRPr="00036565">
        <w:rPr>
          <w:rFonts w:ascii="Traditional Arabic" w:hAnsi="Traditional Arabic" w:cs="Traditional Arabic"/>
          <w:b/>
          <w:bCs/>
          <w:sz w:val="32"/>
          <w:szCs w:val="32"/>
          <w:rtl/>
        </w:rPr>
        <w:t xml:space="preserve">المجتمع والحراك </w:t>
      </w:r>
    </w:p>
    <w:p w14:paraId="2DA8425A" w14:textId="7DFFF412" w:rsidR="003C4022" w:rsidRPr="00036565" w:rsidRDefault="00563823" w:rsidP="00563823">
      <w:pPr>
        <w:pStyle w:val="ListParagraph"/>
        <w:bidi/>
        <w:spacing w:after="0" w:line="276" w:lineRule="auto"/>
        <w:ind w:left="0"/>
        <w:jc w:val="both"/>
        <w:rPr>
          <w:rFonts w:ascii="Traditional Arabic" w:hAnsi="Traditional Arabic" w:cs="Traditional Arabic"/>
          <w:b/>
          <w:bCs/>
          <w:sz w:val="32"/>
          <w:szCs w:val="32"/>
        </w:rPr>
      </w:pPr>
      <w:r>
        <w:rPr>
          <w:rFonts w:ascii="Traditional Arabic" w:hAnsi="Traditional Arabic" w:cs="Traditional Arabic" w:hint="cs"/>
          <w:b/>
          <w:bCs/>
          <w:sz w:val="32"/>
          <w:szCs w:val="32"/>
          <w:rtl/>
          <w:lang w:bidi="ar-EG"/>
        </w:rPr>
        <w:t xml:space="preserve">أولا: </w:t>
      </w:r>
      <w:r w:rsidR="003C4022" w:rsidRPr="00036565">
        <w:rPr>
          <w:rFonts w:ascii="Traditional Arabic" w:hAnsi="Traditional Arabic" w:cs="Traditional Arabic"/>
          <w:b/>
          <w:bCs/>
          <w:sz w:val="32"/>
          <w:szCs w:val="32"/>
          <w:rtl/>
          <w:lang w:bidi="ar-EG"/>
        </w:rPr>
        <w:t>تعريف ا</w:t>
      </w:r>
      <w:r w:rsidR="003C4022" w:rsidRPr="00036565">
        <w:rPr>
          <w:rFonts w:ascii="Traditional Arabic" w:hAnsi="Traditional Arabic" w:cs="Traditional Arabic"/>
          <w:b/>
          <w:bCs/>
          <w:sz w:val="32"/>
          <w:szCs w:val="32"/>
          <w:rtl/>
        </w:rPr>
        <w:t>لمجتمع</w:t>
      </w:r>
    </w:p>
    <w:p w14:paraId="2B064D3D" w14:textId="77777777" w:rsidR="003C4022" w:rsidRPr="00036565" w:rsidRDefault="003C4022" w:rsidP="003C4022">
      <w:pPr>
        <w:bidi/>
        <w:spacing w:after="0" w:line="276" w:lineRule="auto"/>
        <w:jc w:val="both"/>
        <w:rPr>
          <w:rFonts w:ascii="Traditional Arabic" w:hAnsi="Traditional Arabic" w:cs="Traditional Arabic"/>
          <w:sz w:val="32"/>
          <w:szCs w:val="32"/>
        </w:rPr>
      </w:pPr>
      <w:r w:rsidRPr="00036565">
        <w:rPr>
          <w:rFonts w:ascii="Traditional Arabic" w:hAnsi="Traditional Arabic" w:cs="Traditional Arabic"/>
          <w:sz w:val="32"/>
          <w:szCs w:val="32"/>
          <w:rtl/>
        </w:rPr>
        <w:t>المجتمع عبارة عن مجموعة من الأفراد المنخرطين في تفاعل اجتماعي مستمر، أو مجموعة اجتماعية كبيرة تتقاسم نفس المنطقة</w:t>
      </w:r>
      <w:r w:rsidRPr="00036565">
        <w:rPr>
          <w:rFonts w:ascii="Traditional Arabic" w:hAnsi="Traditional Arabic" w:cs="Traditional Arabic"/>
          <w:sz w:val="32"/>
          <w:szCs w:val="32"/>
          <w:rtl/>
          <w:lang w:bidi="ar-EG"/>
        </w:rPr>
        <w:t>، و</w:t>
      </w:r>
      <w:r w:rsidRPr="00036565">
        <w:rPr>
          <w:rFonts w:ascii="Traditional Arabic" w:hAnsi="Traditional Arabic" w:cs="Traditional Arabic"/>
          <w:sz w:val="32"/>
          <w:szCs w:val="32"/>
          <w:rtl/>
        </w:rPr>
        <w:t>عادة ما يخضع أفراد المجتمع لنفس الهيئة الإدارية ونفس الثقافة. المجتمعات لديها معاييرها الخاصة فيما يتعلق بالسلوك.</w:t>
      </w:r>
    </w:p>
    <w:p w14:paraId="2BCDEF22" w14:textId="77777777" w:rsidR="003C4022" w:rsidRPr="00036565" w:rsidRDefault="003C4022" w:rsidP="003C4022">
      <w:pPr>
        <w:bidi/>
        <w:spacing w:after="0" w:line="276" w:lineRule="auto"/>
        <w:jc w:val="both"/>
        <w:rPr>
          <w:rFonts w:ascii="Traditional Arabic" w:hAnsi="Traditional Arabic" w:cs="Traditional Arabic"/>
          <w:sz w:val="32"/>
          <w:szCs w:val="32"/>
        </w:rPr>
      </w:pPr>
      <w:r w:rsidRPr="00036565">
        <w:rPr>
          <w:rFonts w:ascii="Traditional Arabic" w:hAnsi="Traditional Arabic" w:cs="Traditional Arabic"/>
          <w:sz w:val="32"/>
          <w:szCs w:val="32"/>
          <w:rtl/>
        </w:rPr>
        <w:t>تعتبر المجتمعات، بشكل ضمني أو معترف به، بعض التصرفات وأنماط السلوك مقبولة أو غير مقبولة. ويرى البعض أن المجتمع منتج إنساني له القدرة على تغيير منتجيه.</w:t>
      </w:r>
    </w:p>
    <w:p w14:paraId="165BBA41" w14:textId="4C0E1E3D" w:rsidR="003C4022" w:rsidRPr="00036565" w:rsidRDefault="00563823" w:rsidP="00563823">
      <w:pPr>
        <w:pStyle w:val="ListParagraph"/>
        <w:bidi/>
        <w:spacing w:after="0" w:line="276" w:lineRule="auto"/>
        <w:ind w:left="0"/>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ثانيا: </w:t>
      </w:r>
      <w:r w:rsidR="003C4022" w:rsidRPr="00036565">
        <w:rPr>
          <w:rFonts w:ascii="Traditional Arabic" w:hAnsi="Traditional Arabic" w:cs="Traditional Arabic"/>
          <w:b/>
          <w:bCs/>
          <w:sz w:val="32"/>
          <w:szCs w:val="32"/>
          <w:rtl/>
        </w:rPr>
        <w:t>التصنيف الاجتماعي للمجتمعات</w:t>
      </w:r>
    </w:p>
    <w:p w14:paraId="58050D5A" w14:textId="228239D1" w:rsidR="003C4022" w:rsidRPr="00036565" w:rsidRDefault="003C4022" w:rsidP="003C4022">
      <w:pPr>
        <w:bidi/>
        <w:spacing w:after="0" w:line="276" w:lineRule="auto"/>
        <w:jc w:val="both"/>
        <w:rPr>
          <w:rFonts w:ascii="Traditional Arabic" w:hAnsi="Traditional Arabic" w:cs="Traditional Arabic"/>
          <w:sz w:val="32"/>
          <w:szCs w:val="32"/>
        </w:rPr>
      </w:pPr>
      <w:r w:rsidRPr="00036565">
        <w:rPr>
          <w:rFonts w:ascii="Traditional Arabic" w:hAnsi="Traditional Arabic" w:cs="Traditional Arabic"/>
          <w:sz w:val="32"/>
          <w:szCs w:val="32"/>
          <w:rtl/>
        </w:rPr>
        <w:t>هناك طرق مختلفة لتصنيف المجتمعات. وقد ميز جيرهارد لينسكي بين خمسة أنواع رئيسية من المجتمعات،</w:t>
      </w:r>
      <w:r w:rsidRPr="00036565">
        <w:rPr>
          <w:rStyle w:val="FootnoteReference"/>
          <w:rFonts w:ascii="Traditional Arabic" w:hAnsi="Traditional Arabic" w:cs="Traditional Arabic"/>
          <w:sz w:val="32"/>
          <w:szCs w:val="32"/>
          <w:rtl/>
        </w:rPr>
        <w:footnoteReference w:id="1"/>
      </w:r>
      <w:r w:rsidRPr="00036565">
        <w:rPr>
          <w:rFonts w:ascii="Traditional Arabic" w:hAnsi="Traditional Arabic" w:cs="Traditional Arabic"/>
          <w:sz w:val="32"/>
          <w:szCs w:val="32"/>
          <w:rtl/>
        </w:rPr>
        <w:t xml:space="preserve"> في حين ميز مورتون فرايد وإلمان سيرفيس بين ستة أنواع. يميل علماء الاجتماع المعاصرون إلى التمييز بين خمسة أنواع تختلف قليلاً عن تلك التي عند لينسكي تنقسم هذه الأنواع الخمسة إلى ثلاث فئات أوسع:</w:t>
      </w:r>
    </w:p>
    <w:p w14:paraId="54DE294F" w14:textId="77777777" w:rsidR="003C4022" w:rsidRPr="00036565" w:rsidRDefault="003C4022" w:rsidP="003C4022">
      <w:pPr>
        <w:pStyle w:val="ListParagraph"/>
        <w:numPr>
          <w:ilvl w:val="0"/>
          <w:numId w:val="1"/>
        </w:numPr>
        <w:bidi/>
        <w:spacing w:after="0" w:line="276" w:lineRule="auto"/>
        <w:ind w:left="0"/>
        <w:jc w:val="both"/>
        <w:rPr>
          <w:rFonts w:ascii="Traditional Arabic" w:hAnsi="Traditional Arabic" w:cs="Traditional Arabic"/>
          <w:b/>
          <w:bCs/>
          <w:sz w:val="32"/>
          <w:szCs w:val="32"/>
        </w:rPr>
      </w:pPr>
      <w:r w:rsidRPr="00036565">
        <w:rPr>
          <w:rFonts w:ascii="Traditional Arabic" w:hAnsi="Traditional Arabic" w:cs="Traditional Arabic"/>
          <w:b/>
          <w:bCs/>
          <w:sz w:val="32"/>
          <w:szCs w:val="32"/>
          <w:rtl/>
        </w:rPr>
        <w:t>ما قبل الصناعة</w:t>
      </w:r>
    </w:p>
    <w:p w14:paraId="69E39FF3" w14:textId="77777777" w:rsidR="003C4022" w:rsidRPr="00036565" w:rsidRDefault="003C4022" w:rsidP="003C4022">
      <w:pPr>
        <w:pStyle w:val="ListParagraph"/>
        <w:numPr>
          <w:ilvl w:val="0"/>
          <w:numId w:val="1"/>
        </w:numPr>
        <w:bidi/>
        <w:spacing w:after="0" w:line="276" w:lineRule="auto"/>
        <w:ind w:left="0"/>
        <w:jc w:val="both"/>
        <w:rPr>
          <w:rFonts w:ascii="Traditional Arabic" w:hAnsi="Traditional Arabic" w:cs="Traditional Arabic"/>
          <w:b/>
          <w:bCs/>
          <w:sz w:val="32"/>
          <w:szCs w:val="32"/>
        </w:rPr>
      </w:pPr>
      <w:r w:rsidRPr="00036565">
        <w:rPr>
          <w:rFonts w:ascii="Traditional Arabic" w:hAnsi="Traditional Arabic" w:cs="Traditional Arabic"/>
          <w:b/>
          <w:bCs/>
          <w:sz w:val="32"/>
          <w:szCs w:val="32"/>
          <w:rtl/>
        </w:rPr>
        <w:t>الصناعية</w:t>
      </w:r>
    </w:p>
    <w:p w14:paraId="5C7C2ED4" w14:textId="77777777" w:rsidR="003C4022" w:rsidRPr="00036565" w:rsidRDefault="003C4022" w:rsidP="003C4022">
      <w:pPr>
        <w:pStyle w:val="ListParagraph"/>
        <w:numPr>
          <w:ilvl w:val="0"/>
          <w:numId w:val="1"/>
        </w:numPr>
        <w:bidi/>
        <w:spacing w:after="0" w:line="276" w:lineRule="auto"/>
        <w:ind w:left="0"/>
        <w:jc w:val="both"/>
        <w:rPr>
          <w:rFonts w:ascii="Traditional Arabic" w:hAnsi="Traditional Arabic" w:cs="Traditional Arabic"/>
          <w:b/>
          <w:bCs/>
          <w:sz w:val="32"/>
          <w:szCs w:val="32"/>
        </w:rPr>
      </w:pPr>
      <w:r w:rsidRPr="00036565">
        <w:rPr>
          <w:rFonts w:ascii="Traditional Arabic" w:hAnsi="Traditional Arabic" w:cs="Traditional Arabic"/>
          <w:b/>
          <w:bCs/>
          <w:sz w:val="32"/>
          <w:szCs w:val="32"/>
          <w:rtl/>
        </w:rPr>
        <w:t>ما بعد الصناعية.</w:t>
      </w:r>
    </w:p>
    <w:p w14:paraId="231D5708" w14:textId="77777777" w:rsidR="003C4022" w:rsidRPr="00036565" w:rsidRDefault="003C4022" w:rsidP="003C4022">
      <w:pPr>
        <w:bidi/>
        <w:spacing w:after="0" w:line="276" w:lineRule="auto"/>
        <w:jc w:val="both"/>
        <w:rPr>
          <w:rFonts w:ascii="Traditional Arabic" w:hAnsi="Traditional Arabic" w:cs="Traditional Arabic"/>
          <w:b/>
          <w:bCs/>
          <w:sz w:val="32"/>
          <w:szCs w:val="32"/>
        </w:rPr>
      </w:pPr>
      <w:r w:rsidRPr="00036565">
        <w:rPr>
          <w:rFonts w:ascii="Traditional Arabic" w:hAnsi="Traditional Arabic" w:cs="Traditional Arabic"/>
          <w:sz w:val="32"/>
          <w:szCs w:val="32"/>
          <w:rtl/>
        </w:rPr>
        <w:t>يمكن تقسيم مجتمعات ما قبل الصناعة إلى أربعة أنواع مختلفة</w:t>
      </w:r>
      <w:r w:rsidRPr="00036565">
        <w:rPr>
          <w:rFonts w:ascii="Traditional Arabic" w:hAnsi="Traditional Arabic" w:cs="Traditional Arabic"/>
          <w:b/>
          <w:bCs/>
          <w:sz w:val="32"/>
          <w:szCs w:val="32"/>
          <w:rtl/>
        </w:rPr>
        <w:t>:</w:t>
      </w:r>
    </w:p>
    <w:p w14:paraId="37A0837B" w14:textId="77777777" w:rsidR="003C4022" w:rsidRPr="00036565" w:rsidRDefault="003C4022" w:rsidP="003C4022">
      <w:pPr>
        <w:pStyle w:val="ListParagraph"/>
        <w:numPr>
          <w:ilvl w:val="0"/>
          <w:numId w:val="1"/>
        </w:numPr>
        <w:bidi/>
        <w:spacing w:after="0" w:line="276" w:lineRule="auto"/>
        <w:ind w:left="0"/>
        <w:jc w:val="both"/>
        <w:rPr>
          <w:rFonts w:ascii="Traditional Arabic" w:hAnsi="Traditional Arabic" w:cs="Traditional Arabic"/>
          <w:b/>
          <w:bCs/>
          <w:sz w:val="32"/>
          <w:szCs w:val="32"/>
        </w:rPr>
      </w:pPr>
      <w:r w:rsidRPr="00036565">
        <w:rPr>
          <w:rFonts w:ascii="Traditional Arabic" w:hAnsi="Traditional Arabic" w:cs="Traditional Arabic"/>
          <w:b/>
          <w:bCs/>
          <w:sz w:val="32"/>
          <w:szCs w:val="32"/>
          <w:rtl/>
        </w:rPr>
        <w:t>مجتمعات الصيد والجمع</w:t>
      </w:r>
    </w:p>
    <w:p w14:paraId="23E0DAA8" w14:textId="77777777" w:rsidR="003C4022" w:rsidRPr="00036565" w:rsidRDefault="003C4022" w:rsidP="003C4022">
      <w:pPr>
        <w:pStyle w:val="ListParagraph"/>
        <w:numPr>
          <w:ilvl w:val="0"/>
          <w:numId w:val="1"/>
        </w:numPr>
        <w:bidi/>
        <w:spacing w:after="0" w:line="276" w:lineRule="auto"/>
        <w:ind w:left="0"/>
        <w:jc w:val="both"/>
        <w:rPr>
          <w:rFonts w:ascii="Traditional Arabic" w:hAnsi="Traditional Arabic" w:cs="Traditional Arabic"/>
          <w:b/>
          <w:bCs/>
          <w:sz w:val="32"/>
          <w:szCs w:val="32"/>
        </w:rPr>
      </w:pPr>
      <w:r w:rsidRPr="00036565">
        <w:rPr>
          <w:rFonts w:ascii="Traditional Arabic" w:hAnsi="Traditional Arabic" w:cs="Traditional Arabic"/>
          <w:b/>
          <w:bCs/>
          <w:sz w:val="32"/>
          <w:szCs w:val="32"/>
          <w:rtl/>
        </w:rPr>
        <w:t>المجتمعات الرعوية</w:t>
      </w:r>
    </w:p>
    <w:p w14:paraId="043111C3" w14:textId="77777777" w:rsidR="003C4022" w:rsidRPr="00036565" w:rsidRDefault="003C4022" w:rsidP="003C4022">
      <w:pPr>
        <w:pStyle w:val="ListParagraph"/>
        <w:numPr>
          <w:ilvl w:val="0"/>
          <w:numId w:val="1"/>
        </w:numPr>
        <w:bidi/>
        <w:spacing w:after="0" w:line="276" w:lineRule="auto"/>
        <w:ind w:left="0"/>
        <w:jc w:val="both"/>
        <w:rPr>
          <w:rFonts w:ascii="Traditional Arabic" w:hAnsi="Traditional Arabic" w:cs="Traditional Arabic"/>
          <w:b/>
          <w:bCs/>
          <w:sz w:val="32"/>
          <w:szCs w:val="32"/>
        </w:rPr>
      </w:pPr>
      <w:r w:rsidRPr="00036565">
        <w:rPr>
          <w:rFonts w:ascii="Traditional Arabic" w:hAnsi="Traditional Arabic" w:cs="Traditional Arabic"/>
          <w:b/>
          <w:bCs/>
          <w:sz w:val="32"/>
          <w:szCs w:val="32"/>
          <w:rtl/>
        </w:rPr>
        <w:t xml:space="preserve">المجتمعات البستانية </w:t>
      </w:r>
    </w:p>
    <w:p w14:paraId="69831830" w14:textId="77777777" w:rsidR="003C4022" w:rsidRPr="00036565" w:rsidRDefault="003C4022" w:rsidP="003C4022">
      <w:pPr>
        <w:pStyle w:val="ListParagraph"/>
        <w:numPr>
          <w:ilvl w:val="0"/>
          <w:numId w:val="1"/>
        </w:numPr>
        <w:bidi/>
        <w:spacing w:after="0" w:line="276" w:lineRule="auto"/>
        <w:ind w:left="0"/>
        <w:jc w:val="both"/>
        <w:rPr>
          <w:rFonts w:ascii="Traditional Arabic" w:hAnsi="Traditional Arabic" w:cs="Traditional Arabic"/>
          <w:b/>
          <w:bCs/>
          <w:sz w:val="32"/>
          <w:szCs w:val="32"/>
        </w:rPr>
      </w:pPr>
      <w:r w:rsidRPr="00036565">
        <w:rPr>
          <w:rFonts w:ascii="Traditional Arabic" w:hAnsi="Traditional Arabic" w:cs="Traditional Arabic"/>
          <w:b/>
          <w:bCs/>
          <w:sz w:val="32"/>
          <w:szCs w:val="32"/>
          <w:rtl/>
        </w:rPr>
        <w:t>المجتمعات الزراعية. يمكننا الآن تحديد كل نوع من المجتمع على حدة.</w:t>
      </w:r>
    </w:p>
    <w:p w14:paraId="6543EC09" w14:textId="77777777" w:rsidR="003C4022" w:rsidRPr="00036565" w:rsidRDefault="003C4022" w:rsidP="003C4022">
      <w:pPr>
        <w:bidi/>
        <w:spacing w:after="0" w:line="276" w:lineRule="auto"/>
        <w:jc w:val="both"/>
        <w:rPr>
          <w:rFonts w:ascii="Traditional Arabic" w:hAnsi="Traditional Arabic" w:cs="Traditional Arabic"/>
          <w:sz w:val="32"/>
          <w:szCs w:val="32"/>
        </w:rPr>
      </w:pPr>
      <w:r w:rsidRPr="00036565">
        <w:rPr>
          <w:rFonts w:ascii="Traditional Arabic" w:hAnsi="Traditional Arabic" w:cs="Traditional Arabic"/>
          <w:sz w:val="32"/>
          <w:szCs w:val="32"/>
          <w:rtl/>
        </w:rPr>
        <w:t>أنواع المجتمعات مع الأمثلة</w:t>
      </w:r>
    </w:p>
    <w:p w14:paraId="79C3061C" w14:textId="572152A3" w:rsidR="003C4022" w:rsidRPr="00036565" w:rsidRDefault="003C4022" w:rsidP="003C4022">
      <w:pPr>
        <w:bidi/>
        <w:spacing w:after="0" w:line="276" w:lineRule="auto"/>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w:t>
      </w:r>
      <w:r w:rsidRPr="00036565">
        <w:rPr>
          <w:rFonts w:ascii="Traditional Arabic" w:hAnsi="Traditional Arabic" w:cs="Traditional Arabic"/>
          <w:b/>
          <w:bCs/>
          <w:sz w:val="32"/>
          <w:szCs w:val="32"/>
          <w:rtl/>
        </w:rPr>
        <w:t xml:space="preserve"> مجتمعات الصيد والجمع </w:t>
      </w:r>
      <w:r w:rsidRPr="00036565">
        <w:rPr>
          <w:rFonts w:ascii="Traditional Arabic" w:hAnsi="Traditional Arabic" w:cs="Traditional Arabic"/>
          <w:b/>
          <w:bCs/>
          <w:sz w:val="32"/>
          <w:szCs w:val="32"/>
          <w:lang w:val="fr-FR"/>
        </w:rPr>
        <w:t>)</w:t>
      </w:r>
      <w:r w:rsidRPr="00036565">
        <w:rPr>
          <w:rFonts w:ascii="Traditional Arabic" w:hAnsi="Traditional Arabic" w:cs="Traditional Arabic"/>
          <w:b/>
          <w:bCs/>
          <w:sz w:val="32"/>
          <w:szCs w:val="32"/>
          <w:rtl/>
        </w:rPr>
        <w:t>مجتمع ما قبل الصناعة</w:t>
      </w:r>
      <w:r w:rsidRPr="00036565">
        <w:rPr>
          <w:rFonts w:ascii="Traditional Arabic" w:hAnsi="Traditional Arabic" w:cs="Traditional Arabic"/>
          <w:b/>
          <w:bCs/>
          <w:sz w:val="32"/>
          <w:szCs w:val="32"/>
        </w:rPr>
        <w:t>(</w:t>
      </w:r>
    </w:p>
    <w:p w14:paraId="49CE4F24" w14:textId="4B7CF8ED" w:rsidR="003C4022" w:rsidRPr="00036565" w:rsidRDefault="003C4022" w:rsidP="003C4022">
      <w:pPr>
        <w:bidi/>
        <w:spacing w:after="0" w:line="276" w:lineRule="auto"/>
        <w:jc w:val="both"/>
        <w:rPr>
          <w:rFonts w:ascii="Traditional Arabic" w:hAnsi="Traditional Arabic" w:cs="Traditional Arabic"/>
          <w:sz w:val="32"/>
          <w:szCs w:val="32"/>
        </w:rPr>
      </w:pPr>
      <w:r w:rsidRPr="00036565">
        <w:rPr>
          <w:rFonts w:ascii="Traditional Arabic" w:hAnsi="Traditional Arabic" w:cs="Traditional Arabic"/>
          <w:sz w:val="32"/>
          <w:szCs w:val="32"/>
          <w:rtl/>
        </w:rPr>
        <w:lastRenderedPageBreak/>
        <w:t>كانت مجتمعات الصيد وجمع الثمار هي القاعدة. وكانت هذه المجتمعات تعتمد على القرابة أو القبائل وتعتمد بشكل كبير على البيئة.</w:t>
      </w:r>
      <w:r w:rsidRPr="00036565">
        <w:rPr>
          <w:rFonts w:ascii="Traditional Arabic" w:hAnsi="Traditional Arabic" w:cs="Traditional Arabic"/>
          <w:sz w:val="32"/>
          <w:szCs w:val="32"/>
        </w:rPr>
        <w:t xml:space="preserve"> </w:t>
      </w:r>
      <w:r w:rsidRPr="00036565">
        <w:rPr>
          <w:rFonts w:ascii="Traditional Arabic" w:hAnsi="Traditional Arabic" w:cs="Traditional Arabic"/>
          <w:sz w:val="32"/>
          <w:szCs w:val="32"/>
          <w:rtl/>
        </w:rPr>
        <w:t>كان الصيادون وجامعو الثمار يصطادون الحيوانات البرية ويجمعون النباتات غير المزروعة من أجل الغذاء. وبما أن هذه المجتمعات كانت تعتمد على البيئة في غذائها، فقد اضطرت في كثير من الأحيان إلى الانتقال إلى مناطق جديدة. لذلك كانت مجتمعات الصيد والجمع من البدو الرحل. ولم يبنوا مستوطنات دائمة.</w:t>
      </w:r>
    </w:p>
    <w:p w14:paraId="098548EE" w14:textId="594B905A" w:rsidR="003C4022" w:rsidRDefault="003C4022" w:rsidP="003C4022">
      <w:pPr>
        <w:bidi/>
        <w:spacing w:after="0" w:line="276" w:lineRule="auto"/>
        <w:jc w:val="both"/>
        <w:rPr>
          <w:rFonts w:ascii="Traditional Arabic" w:hAnsi="Traditional Arabic" w:cs="Traditional Arabic"/>
          <w:sz w:val="32"/>
          <w:szCs w:val="32"/>
        </w:rPr>
      </w:pPr>
      <w:r w:rsidRPr="00036565">
        <w:rPr>
          <w:rFonts w:ascii="Traditional Arabic" w:hAnsi="Traditional Arabic" w:cs="Traditional Arabic"/>
          <w:sz w:val="32"/>
          <w:szCs w:val="32"/>
          <w:rtl/>
        </w:rPr>
        <w:t>يبلغ متوسط حجم مجموعة الصيد وجمع الثمار ما بين 15 إلى 50 شخصًا فقط ولم يبق في الوجود اليوم سوى بضع مئات من مجتمعات الصيد وجمع الثمار.</w:t>
      </w:r>
      <w:r w:rsidRPr="00036565">
        <w:rPr>
          <w:rFonts w:ascii="Traditional Arabic" w:hAnsi="Traditional Arabic" w:cs="Traditional Arabic"/>
          <w:sz w:val="32"/>
          <w:szCs w:val="32"/>
        </w:rPr>
        <w:t xml:space="preserve"> </w:t>
      </w:r>
      <w:r w:rsidRPr="00036565">
        <w:rPr>
          <w:rFonts w:ascii="Traditional Arabic" w:hAnsi="Traditional Arabic" w:cs="Traditional Arabic"/>
          <w:sz w:val="32"/>
          <w:szCs w:val="32"/>
          <w:rtl/>
        </w:rPr>
        <w:t>وتميل هذه المجتمعات إلى أن تكون ديمقراطية نسبيا، بمعنى أن القرارات يتم التوصل إليها عموما من خلال الاتفاق المتبادل. القيادة غالبا ما تكون شخصية وتقتصر على حالات خاصة في المجتمعات القبلية ورئيس القبيلة هو الشخص الأكثر نفوذا</w:t>
      </w:r>
      <w:r>
        <w:rPr>
          <w:rFonts w:ascii="Traditional Arabic" w:hAnsi="Traditional Arabic" w:cs="Traditional Arabic"/>
          <w:sz w:val="32"/>
          <w:szCs w:val="32"/>
        </w:rPr>
        <w:t>.</w:t>
      </w:r>
    </w:p>
    <w:p w14:paraId="5A64D544" w14:textId="7BD69F78" w:rsidR="003C4022" w:rsidRPr="00036565" w:rsidRDefault="003C4022" w:rsidP="00563823">
      <w:pPr>
        <w:bidi/>
        <w:spacing w:after="0" w:line="276" w:lineRule="auto"/>
        <w:jc w:val="both"/>
        <w:rPr>
          <w:rFonts w:ascii="Traditional Arabic" w:hAnsi="Traditional Arabic" w:cs="Traditional Arabic"/>
          <w:b/>
          <w:bCs/>
          <w:sz w:val="32"/>
          <w:szCs w:val="32"/>
        </w:rPr>
      </w:pPr>
      <w:r w:rsidRPr="00036565">
        <w:rPr>
          <w:rFonts w:ascii="Traditional Arabic" w:hAnsi="Traditional Arabic" w:cs="Traditional Arabic"/>
          <w:b/>
          <w:bCs/>
          <w:sz w:val="32"/>
          <w:szCs w:val="32"/>
          <w:rtl/>
          <w:lang w:bidi="ar-EG"/>
        </w:rPr>
        <w:t>و</w:t>
      </w:r>
      <w:r w:rsidRPr="00036565">
        <w:rPr>
          <w:rFonts w:ascii="Traditional Arabic" w:hAnsi="Traditional Arabic" w:cs="Traditional Arabic"/>
          <w:b/>
          <w:bCs/>
          <w:sz w:val="32"/>
          <w:szCs w:val="32"/>
          <w:rtl/>
        </w:rPr>
        <w:t>من أمثلة مجتمعات الصيد وجمع الثمار ما يلي:</w:t>
      </w:r>
      <w:r w:rsidR="00563823">
        <w:rPr>
          <w:rFonts w:ascii="Traditional Arabic" w:hAnsi="Traditional Arabic" w:cs="Traditional Arabic" w:hint="cs"/>
          <w:b/>
          <w:bCs/>
          <w:sz w:val="32"/>
          <w:szCs w:val="32"/>
          <w:rtl/>
        </w:rPr>
        <w:t xml:space="preserve"> ا</w:t>
      </w:r>
      <w:r w:rsidRPr="00036565">
        <w:rPr>
          <w:rFonts w:ascii="Traditional Arabic" w:hAnsi="Traditional Arabic" w:cs="Traditional Arabic"/>
          <w:b/>
          <w:bCs/>
          <w:sz w:val="32"/>
          <w:szCs w:val="32"/>
          <w:rtl/>
        </w:rPr>
        <w:t>لعديد من مجتمعات السكان الأصليين الأستراليين قبل عام 1788، وسكان جزر مضيق توريس قبل عام 1788، وبامبوتي في جمهورية الكونغو الديمقراطية.</w:t>
      </w:r>
      <w:r w:rsidRPr="00036565">
        <w:rPr>
          <w:rStyle w:val="FootnoteReference"/>
          <w:rFonts w:ascii="Traditional Arabic" w:hAnsi="Traditional Arabic" w:cs="Traditional Arabic"/>
          <w:sz w:val="32"/>
          <w:szCs w:val="32"/>
          <w:rtl/>
        </w:rPr>
        <w:footnoteReference w:id="2"/>
      </w:r>
      <w:r w:rsidRPr="00036565">
        <w:rPr>
          <w:rFonts w:ascii="Traditional Arabic" w:hAnsi="Traditional Arabic" w:cs="Traditional Arabic"/>
          <w:sz w:val="32"/>
          <w:szCs w:val="32"/>
          <w:rtl/>
        </w:rPr>
        <w:t xml:space="preserve">. </w:t>
      </w:r>
    </w:p>
    <w:p w14:paraId="695678BA" w14:textId="10048EA0" w:rsidR="003C4022" w:rsidRPr="00036565" w:rsidRDefault="003C4022" w:rsidP="003C4022">
      <w:pPr>
        <w:bidi/>
        <w:spacing w:after="0" w:line="276" w:lineRule="auto"/>
        <w:jc w:val="both"/>
        <w:rPr>
          <w:rFonts w:ascii="Traditional Arabic" w:hAnsi="Traditional Arabic" w:cs="Traditional Arabic"/>
          <w:b/>
          <w:bCs/>
          <w:sz w:val="32"/>
          <w:szCs w:val="32"/>
        </w:rPr>
      </w:pPr>
      <w:r>
        <w:rPr>
          <w:rFonts w:ascii="Traditional Arabic" w:hAnsi="Traditional Arabic" w:cs="Traditional Arabic"/>
          <w:b/>
          <w:bCs/>
          <w:sz w:val="32"/>
          <w:szCs w:val="32"/>
        </w:rPr>
        <w:t>*</w:t>
      </w:r>
      <w:r w:rsidRPr="00036565">
        <w:rPr>
          <w:rFonts w:ascii="Traditional Arabic" w:hAnsi="Traditional Arabic" w:cs="Traditional Arabic"/>
          <w:b/>
          <w:bCs/>
          <w:sz w:val="32"/>
          <w:szCs w:val="32"/>
          <w:rtl/>
        </w:rPr>
        <w:t>المجتمعات الرعوي</w:t>
      </w:r>
      <w:r w:rsidR="00563823">
        <w:rPr>
          <w:rFonts w:ascii="Traditional Arabic" w:hAnsi="Traditional Arabic" w:cs="Traditional Arabic" w:hint="cs"/>
          <w:b/>
          <w:bCs/>
          <w:sz w:val="32"/>
          <w:szCs w:val="32"/>
          <w:rtl/>
        </w:rPr>
        <w:t>ة</w:t>
      </w:r>
      <w:r w:rsidRPr="00036565">
        <w:rPr>
          <w:rFonts w:ascii="Traditional Arabic" w:hAnsi="Traditional Arabic" w:cs="Traditional Arabic"/>
          <w:b/>
          <w:bCs/>
          <w:sz w:val="32"/>
          <w:szCs w:val="32"/>
          <w:rtl/>
          <w:lang w:bidi="ar-DZ"/>
        </w:rPr>
        <w:t xml:space="preserve"> </w:t>
      </w:r>
      <w:r w:rsidRPr="00036565">
        <w:rPr>
          <w:rFonts w:ascii="Traditional Arabic" w:hAnsi="Traditional Arabic" w:cs="Traditional Arabic"/>
          <w:b/>
          <w:bCs/>
          <w:sz w:val="32"/>
          <w:szCs w:val="32"/>
          <w:rtl/>
          <w:lang w:val="fr-FR" w:bidi="ar-DZ"/>
        </w:rPr>
        <w:t>(</w:t>
      </w:r>
      <w:r w:rsidRPr="00036565">
        <w:rPr>
          <w:rFonts w:ascii="Traditional Arabic" w:hAnsi="Traditional Arabic" w:cs="Traditional Arabic"/>
          <w:b/>
          <w:bCs/>
          <w:sz w:val="32"/>
          <w:szCs w:val="32"/>
          <w:rtl/>
        </w:rPr>
        <w:t>مجتمع ما قبل الصناعة)</w:t>
      </w:r>
    </w:p>
    <w:p w14:paraId="35626E68" w14:textId="77777777" w:rsidR="003C4022" w:rsidRPr="00036565" w:rsidRDefault="003C4022" w:rsidP="003C4022">
      <w:pPr>
        <w:bidi/>
        <w:spacing w:after="0" w:line="276" w:lineRule="auto"/>
        <w:jc w:val="both"/>
        <w:rPr>
          <w:rFonts w:ascii="Traditional Arabic" w:hAnsi="Traditional Arabic" w:cs="Traditional Arabic"/>
          <w:sz w:val="32"/>
          <w:szCs w:val="32"/>
        </w:rPr>
      </w:pPr>
      <w:r w:rsidRPr="00036565">
        <w:rPr>
          <w:rFonts w:ascii="Traditional Arabic" w:hAnsi="Traditional Arabic" w:cs="Traditional Arabic"/>
          <w:sz w:val="32"/>
          <w:szCs w:val="32"/>
          <w:rtl/>
        </w:rPr>
        <w:t>المجتمع الرعوي هو نوع من مجتمع ما قبل الصناعة الذي يعتمد أسلوب حياته على الرعي (أي تدجين الحيوانات).</w:t>
      </w:r>
    </w:p>
    <w:p w14:paraId="031F983A" w14:textId="2925D790" w:rsidR="003C4022" w:rsidRPr="00036565" w:rsidRDefault="003C4022" w:rsidP="00563823">
      <w:pPr>
        <w:bidi/>
        <w:spacing w:after="0" w:line="276" w:lineRule="auto"/>
        <w:jc w:val="both"/>
        <w:rPr>
          <w:rFonts w:ascii="Traditional Arabic" w:hAnsi="Traditional Arabic" w:cs="Traditional Arabic"/>
          <w:sz w:val="32"/>
          <w:szCs w:val="32"/>
        </w:rPr>
      </w:pPr>
      <w:r w:rsidRPr="00036565">
        <w:rPr>
          <w:rFonts w:ascii="Traditional Arabic" w:hAnsi="Traditional Arabic" w:cs="Traditional Arabic"/>
          <w:sz w:val="32"/>
          <w:szCs w:val="32"/>
          <w:rtl/>
        </w:rPr>
        <w:t>نظرًا لأن الإمدادات الغذائية للمجتمعات الرعوية أكثر موثوقية بكثير، فإنها تميل إلى أن يكون عدد سكانها أكبر بكثير مما يمكن أن تدعمه ثقافة الصيد وجمع الثمار.</w:t>
      </w:r>
      <w:r w:rsidR="00563823">
        <w:rPr>
          <w:rFonts w:ascii="Traditional Arabic" w:hAnsi="Traditional Arabic" w:cs="Traditional Arabic" w:hint="cs"/>
          <w:sz w:val="32"/>
          <w:szCs w:val="32"/>
          <w:rtl/>
        </w:rPr>
        <w:t xml:space="preserve"> </w:t>
      </w:r>
      <w:r w:rsidRPr="00036565">
        <w:rPr>
          <w:rFonts w:ascii="Traditional Arabic" w:hAnsi="Traditional Arabic" w:cs="Traditional Arabic"/>
          <w:sz w:val="32"/>
          <w:szCs w:val="32"/>
          <w:rtl/>
        </w:rPr>
        <w:t>عادة ما تكون المجتمعات الرعوية، مثل مجتمعات الصيد وجمع الثمار، بدوية: فهي لا تبني مستوطنات دائمة مثل القرى. وذلك لأن الرعاة يجب أن يأخذوا قطعانهم باستمرار إلى أراضي الرعي الجديدة.</w:t>
      </w:r>
      <w:r w:rsidR="00563823">
        <w:rPr>
          <w:rFonts w:ascii="Traditional Arabic" w:hAnsi="Traditional Arabic" w:cs="Traditional Arabic" w:hint="cs"/>
          <w:sz w:val="32"/>
          <w:szCs w:val="32"/>
          <w:rtl/>
        </w:rPr>
        <w:t xml:space="preserve"> </w:t>
      </w:r>
      <w:r w:rsidRPr="00036565">
        <w:rPr>
          <w:rFonts w:ascii="Traditional Arabic" w:hAnsi="Traditional Arabic" w:cs="Traditional Arabic"/>
          <w:sz w:val="32"/>
          <w:szCs w:val="32"/>
          <w:rtl/>
        </w:rPr>
        <w:t>وبالتالي، تتكون المصنوعات الثقافية لهذه المجتمعات من عناصر يسهل نقلها مثل الخيام والسجاد المنسوج والمجوهرات وما إلى ذلك.</w:t>
      </w:r>
    </w:p>
    <w:p w14:paraId="6E1F9400" w14:textId="1A6264C2" w:rsidR="003C4022" w:rsidRPr="00036565" w:rsidRDefault="003C4022" w:rsidP="003C4022">
      <w:pPr>
        <w:bidi/>
        <w:spacing w:after="0" w:line="276" w:lineRule="auto"/>
        <w:jc w:val="both"/>
        <w:rPr>
          <w:rFonts w:ascii="Traditional Arabic" w:hAnsi="Traditional Arabic" w:cs="Traditional Arabic"/>
          <w:sz w:val="32"/>
          <w:szCs w:val="32"/>
        </w:rPr>
      </w:pPr>
      <w:r w:rsidRPr="00036565">
        <w:rPr>
          <w:rFonts w:ascii="Traditional Arabic" w:hAnsi="Traditional Arabic" w:cs="Traditional Arabic"/>
          <w:sz w:val="32"/>
          <w:szCs w:val="32"/>
          <w:rtl/>
        </w:rPr>
        <w:t>ظهرت المجتمعات الرعوية الأولى عندما بدأ البشر، في ترويض وتربية الحيوانات لتنمية نباتاتهم وزراعتها. وجدت المجتمعات الرعوية طريقة أكثر استدامة للعيش لأنها تمكنت من تربية الماشية من أجل الغذاء والملابس والنقل.</w:t>
      </w:r>
    </w:p>
    <w:p w14:paraId="4C7DC747" w14:textId="77777777" w:rsidR="003C4022" w:rsidRPr="00036565" w:rsidRDefault="003C4022" w:rsidP="003C4022">
      <w:pPr>
        <w:bidi/>
        <w:spacing w:after="0" w:line="276" w:lineRule="auto"/>
        <w:jc w:val="both"/>
        <w:rPr>
          <w:rFonts w:ascii="Traditional Arabic" w:hAnsi="Traditional Arabic" w:cs="Traditional Arabic"/>
          <w:sz w:val="32"/>
          <w:szCs w:val="32"/>
        </w:rPr>
      </w:pPr>
      <w:r w:rsidRPr="00036565">
        <w:rPr>
          <w:rFonts w:ascii="Traditional Arabic" w:hAnsi="Traditional Arabic" w:cs="Traditional Arabic"/>
          <w:sz w:val="32"/>
          <w:szCs w:val="32"/>
          <w:rtl/>
        </w:rPr>
        <w:lastRenderedPageBreak/>
        <w:t>هذا سمح لهم بإنشاء فائض من البضائع. وهذا أيضًا هو الوقت الذي ظهرت فيه المهن المتخصصة والتجارة المنهجية لأول مرة. ومع مرور الوقت، ظهرت زعامات قبلية وراثية، وهي البنية الحكومية النموذجية للمجتمعات الرعوية. هذا ولا تزال العديد من المجتمعات الرعوية موجودة حتى اليوم، خاصة في شمال أفريقيا، وأفريقيا جنوب الصحراء الكبرى، وجنوب آسيا. تشمل الأمثلة من أفريقيا ما يلي: شعب العفار، الشعب البدوي، شعب البجا، شعب تيغري. وفي جنوب آسيا، تتضمن بعض الأمثلة ما يلي: شعب أهير، شعب بوتيا، وشعب كورما.</w:t>
      </w:r>
    </w:p>
    <w:p w14:paraId="1052C257" w14:textId="2A6D4656" w:rsidR="003C4022" w:rsidRPr="00036565" w:rsidRDefault="003C4022" w:rsidP="003C4022">
      <w:pPr>
        <w:bidi/>
        <w:spacing w:after="0" w:line="276" w:lineRule="auto"/>
        <w:jc w:val="both"/>
        <w:rPr>
          <w:rFonts w:ascii="Traditional Arabic" w:hAnsi="Traditional Arabic" w:cs="Traditional Arabic"/>
          <w:b/>
          <w:bCs/>
          <w:sz w:val="32"/>
          <w:szCs w:val="32"/>
        </w:rPr>
      </w:pPr>
      <w:r>
        <w:rPr>
          <w:rFonts w:ascii="Traditional Arabic" w:hAnsi="Traditional Arabic" w:cs="Traditional Arabic"/>
          <w:b/>
          <w:bCs/>
          <w:sz w:val="32"/>
          <w:szCs w:val="32"/>
        </w:rPr>
        <w:t>*</w:t>
      </w:r>
      <w:r w:rsidRPr="00036565">
        <w:rPr>
          <w:rFonts w:ascii="Traditional Arabic" w:hAnsi="Traditional Arabic" w:cs="Traditional Arabic"/>
          <w:b/>
          <w:bCs/>
          <w:sz w:val="32"/>
          <w:szCs w:val="32"/>
          <w:rtl/>
        </w:rPr>
        <w:t xml:space="preserve">الجمعيات البستانية </w:t>
      </w:r>
      <w:proofErr w:type="gramStart"/>
      <w:r w:rsidRPr="00036565">
        <w:rPr>
          <w:rFonts w:ascii="Traditional Arabic" w:hAnsi="Traditional Arabic" w:cs="Traditional Arabic"/>
          <w:b/>
          <w:bCs/>
          <w:sz w:val="32"/>
          <w:szCs w:val="32"/>
          <w:rtl/>
        </w:rPr>
        <w:t>( مجتمع</w:t>
      </w:r>
      <w:proofErr w:type="gramEnd"/>
      <w:r w:rsidRPr="00036565">
        <w:rPr>
          <w:rFonts w:ascii="Traditional Arabic" w:hAnsi="Traditional Arabic" w:cs="Traditional Arabic"/>
          <w:b/>
          <w:bCs/>
          <w:sz w:val="32"/>
          <w:szCs w:val="32"/>
          <w:rtl/>
        </w:rPr>
        <w:t xml:space="preserve"> ما قبل الصناعة)</w:t>
      </w:r>
    </w:p>
    <w:p w14:paraId="51F64B63" w14:textId="77777777" w:rsidR="003C4022" w:rsidRPr="00036565" w:rsidRDefault="003C4022" w:rsidP="003C4022">
      <w:pPr>
        <w:bidi/>
        <w:spacing w:after="0" w:line="276" w:lineRule="auto"/>
        <w:jc w:val="both"/>
        <w:rPr>
          <w:rFonts w:ascii="Traditional Arabic" w:hAnsi="Traditional Arabic" w:cs="Traditional Arabic"/>
          <w:b/>
          <w:bCs/>
          <w:sz w:val="32"/>
          <w:szCs w:val="32"/>
        </w:rPr>
      </w:pPr>
      <w:r w:rsidRPr="00036565">
        <w:rPr>
          <w:rFonts w:ascii="Traditional Arabic" w:hAnsi="Traditional Arabic" w:cs="Traditional Arabic"/>
          <w:sz w:val="32"/>
          <w:szCs w:val="32"/>
          <w:rtl/>
        </w:rPr>
        <w:t>في نفس الوقت تقريبًا الذي ظهرت فيه المجتمعات الرعوية، ظهر نوع آخر من المجتمع: المجتمع البستاني. لقد كان يعتمد على القدرة المطورة حديثًا على زراعة النباتات وزراعتها. يستخدم البستانيون العمل البشري وأدوات بسيطة لزراعة الأرض. وعندما تصبح قطعة أرض جرداء، تنتقل هذه المجتمعات إلى قطع أراضي جديدة. وقد يعودون إلى الحبكة الأصلية بعد سنوات ويكررون العملية. هذا النوع من تناوب قطع الأراضي هو ما يسمح للمجتمعات البستانية بالبقاء في منطقة واحدة لفترة طويلة إلى حد ما. ولهذا السبب تمكنوا من بناء قرى دائمة، على عكس مجتمعات الصيد وجمع الثمار والمجتمعات الرعوية</w:t>
      </w:r>
      <w:r w:rsidRPr="00036565">
        <w:rPr>
          <w:rFonts w:ascii="Traditional Arabic" w:hAnsi="Traditional Arabic" w:cs="Traditional Arabic"/>
          <w:b/>
          <w:bCs/>
          <w:sz w:val="32"/>
          <w:szCs w:val="32"/>
          <w:rtl/>
        </w:rPr>
        <w:t>.</w:t>
      </w:r>
      <w:r w:rsidRPr="00036565">
        <w:rPr>
          <w:rStyle w:val="FootnoteReference"/>
          <w:rFonts w:ascii="Traditional Arabic" w:hAnsi="Traditional Arabic" w:cs="Traditional Arabic"/>
          <w:b/>
          <w:bCs/>
          <w:sz w:val="32"/>
          <w:szCs w:val="32"/>
          <w:rtl/>
        </w:rPr>
        <w:footnoteReference w:id="3"/>
      </w:r>
    </w:p>
    <w:p w14:paraId="70B6EF40" w14:textId="77777777" w:rsidR="003C4022" w:rsidRPr="00036565" w:rsidRDefault="003C4022" w:rsidP="003C4022">
      <w:pPr>
        <w:bidi/>
        <w:spacing w:after="0" w:line="276" w:lineRule="auto"/>
        <w:jc w:val="both"/>
        <w:rPr>
          <w:rFonts w:ascii="Traditional Arabic" w:hAnsi="Traditional Arabic" w:cs="Traditional Arabic"/>
          <w:sz w:val="32"/>
          <w:szCs w:val="32"/>
        </w:rPr>
      </w:pPr>
      <w:r w:rsidRPr="00036565">
        <w:rPr>
          <w:rFonts w:ascii="Traditional Arabic" w:hAnsi="Traditional Arabic" w:cs="Traditional Arabic"/>
          <w:sz w:val="32"/>
          <w:szCs w:val="32"/>
          <w:rtl/>
        </w:rPr>
        <w:t>لدى المجتمعات البستانية أدوار متخصصة لمختلف الأفراد. وتشمل هذه الأدوار الحرفيين والشامان والتجار.</w:t>
      </w:r>
    </w:p>
    <w:p w14:paraId="2B1C9DF6" w14:textId="3773D035" w:rsidR="003C4022" w:rsidRPr="00563823" w:rsidRDefault="003C4022" w:rsidP="00563823">
      <w:pPr>
        <w:bidi/>
        <w:spacing w:after="0" w:line="276" w:lineRule="auto"/>
        <w:jc w:val="both"/>
        <w:rPr>
          <w:rFonts w:ascii="Traditional Arabic" w:hAnsi="Traditional Arabic" w:cs="Traditional Arabic"/>
          <w:sz w:val="32"/>
          <w:szCs w:val="32"/>
        </w:rPr>
      </w:pPr>
      <w:r w:rsidRPr="00036565">
        <w:rPr>
          <w:rFonts w:ascii="Traditional Arabic" w:hAnsi="Traditional Arabic" w:cs="Traditional Arabic"/>
          <w:sz w:val="32"/>
          <w:szCs w:val="32"/>
          <w:rtl/>
        </w:rPr>
        <w:t>إن وجود التسلسل الهرمي، كما هو الحال في المجتمعات الرعوية، يخلق عدم المساواة في الثروة والسلطة داخل النظم السياسية البستانية. عادة ما تتشكل المجتمعات البستانية، بسبب اعتمادها على البيئة، حول المناطق التي تسمح لها الأمطار والظروف الأخرى بزراعة المحاصيل. ومن الأمثلة على المجتمع البستاني ما يلي: قبيلة غورورومبا (غينيا الجديدة) – زراعة البطاطا الحلوة، والبطاطا، وقصب السكر، والقلقاس. شعب الماساي (كينيا) - يزرعون الأرز والبطاطس والملفوف.</w:t>
      </w:r>
      <w:r w:rsidR="00563823">
        <w:rPr>
          <w:rFonts w:ascii="Traditional Arabic" w:hAnsi="Traditional Arabic" w:cs="Traditional Arabic" w:hint="cs"/>
          <w:sz w:val="32"/>
          <w:szCs w:val="32"/>
          <w:rtl/>
        </w:rPr>
        <w:t xml:space="preserve"> </w:t>
      </w:r>
      <w:r w:rsidRPr="00563823">
        <w:rPr>
          <w:rFonts w:ascii="Traditional Arabic" w:hAnsi="Traditional Arabic" w:cs="Traditional Arabic"/>
          <w:sz w:val="32"/>
          <w:szCs w:val="32"/>
          <w:rtl/>
        </w:rPr>
        <w:t>هذا وانتقلت العديد من المجتمعات البستانية بسرعة إلى العصر الزراعي مع تطوير الأدوات الدائمة.</w:t>
      </w:r>
    </w:p>
    <w:p w14:paraId="03E4B6D8" w14:textId="336F044F" w:rsidR="003C4022" w:rsidRPr="00036565" w:rsidRDefault="003C4022" w:rsidP="003C4022">
      <w:pPr>
        <w:bidi/>
        <w:spacing w:after="0" w:line="276" w:lineRule="auto"/>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w:t>
      </w:r>
      <w:r w:rsidRPr="00036565">
        <w:rPr>
          <w:rFonts w:ascii="Traditional Arabic" w:hAnsi="Traditional Arabic" w:cs="Traditional Arabic"/>
          <w:b/>
          <w:bCs/>
          <w:sz w:val="32"/>
          <w:szCs w:val="32"/>
          <w:rtl/>
        </w:rPr>
        <w:t>المجتمعات الزراعية (مجتمع ما قبل الصناعة)</w:t>
      </w:r>
    </w:p>
    <w:p w14:paraId="78473317" w14:textId="77777777" w:rsidR="003C4022" w:rsidRPr="00036565" w:rsidRDefault="003C4022" w:rsidP="003C4022">
      <w:pPr>
        <w:bidi/>
        <w:spacing w:after="0" w:line="276" w:lineRule="auto"/>
        <w:jc w:val="both"/>
        <w:rPr>
          <w:rFonts w:ascii="Traditional Arabic" w:hAnsi="Traditional Arabic" w:cs="Traditional Arabic"/>
          <w:sz w:val="32"/>
          <w:szCs w:val="32"/>
        </w:rPr>
      </w:pPr>
      <w:r w:rsidRPr="00036565">
        <w:rPr>
          <w:rFonts w:ascii="Traditional Arabic" w:hAnsi="Traditional Arabic" w:cs="Traditional Arabic"/>
          <w:sz w:val="32"/>
          <w:szCs w:val="32"/>
          <w:rtl/>
        </w:rPr>
        <w:lastRenderedPageBreak/>
        <w:t>كانت المجتمعات الزراعية هي تلك التي اعتمدت على أدوات دائمة للبقاء على قيد الحياة. لقد استخدموا التقدم التكنولوجي الزراعي لزراعة المحاصيل على قطعة كبيرة من الأرض. كتب لينسكي أن الشيء الرئيسي الذي ميز المجتمعات الزراعية عن المجتمعات البستانية هو استخدام المحراث. وتعلم المزارعون كيفية تدوير أنواع المحاصيل التي يزرعونها في أراضيهم. لقد تعلموا كيفية استخدام الأسمدة.</w:t>
      </w:r>
    </w:p>
    <w:p w14:paraId="5E7FE327" w14:textId="77777777" w:rsidR="003C4022" w:rsidRPr="00036565" w:rsidRDefault="003C4022" w:rsidP="003C4022">
      <w:pPr>
        <w:bidi/>
        <w:spacing w:after="0" w:line="276" w:lineRule="auto"/>
        <w:jc w:val="both"/>
        <w:rPr>
          <w:rFonts w:ascii="Traditional Arabic" w:hAnsi="Traditional Arabic" w:cs="Traditional Arabic"/>
          <w:sz w:val="32"/>
          <w:szCs w:val="32"/>
        </w:rPr>
      </w:pPr>
      <w:r w:rsidRPr="00036565">
        <w:rPr>
          <w:rFonts w:ascii="Traditional Arabic" w:hAnsi="Traditional Arabic" w:cs="Traditional Arabic"/>
          <w:sz w:val="32"/>
          <w:szCs w:val="32"/>
          <w:rtl/>
        </w:rPr>
        <w:t>ظهرت أدوات جديدة وأفضل للحفر والحصاد. وأدى تحسن التكنولوجيا إلى زيادة الإمدادات الغذائية، الأمر الذي أدى بدوره إلى تشكيل المدن التي أصبحت مراكز للتجارة. وكانت المجتمعات الزراعية أكثر تقسيمًا اجتماعيًا من المجتمعات البستانية أو الرعوية. على سبيل المثال، أصبح دور المرأة خاضعا بشكل متزايد لدور الرجل. أولئك الذين لديهم المزيد من الموارد تطوروا إلى طبقة نبيلة منفصلة. كما ظهر نظام من الحكام ذوي المكانة الاجتماعية العالية. من أمثلة المجتمعات الزراعية ما يلي:</w:t>
      </w:r>
    </w:p>
    <w:p w14:paraId="6B3A3B4A" w14:textId="77777777" w:rsidR="003C4022" w:rsidRPr="00036565" w:rsidRDefault="003C4022" w:rsidP="003C4022">
      <w:pPr>
        <w:bidi/>
        <w:spacing w:after="0" w:line="276" w:lineRule="auto"/>
        <w:jc w:val="both"/>
        <w:rPr>
          <w:rFonts w:ascii="Traditional Arabic" w:hAnsi="Traditional Arabic" w:cs="Traditional Arabic"/>
          <w:sz w:val="32"/>
          <w:szCs w:val="32"/>
        </w:rPr>
      </w:pPr>
      <w:r w:rsidRPr="00036565">
        <w:rPr>
          <w:rFonts w:ascii="Traditional Arabic" w:hAnsi="Traditional Arabic" w:cs="Traditional Arabic"/>
          <w:b/>
          <w:bCs/>
          <w:sz w:val="32"/>
          <w:szCs w:val="32"/>
          <w:rtl/>
        </w:rPr>
        <w:t>قدماء المصريين والسومريين</w:t>
      </w:r>
      <w:r w:rsidRPr="00036565">
        <w:rPr>
          <w:rFonts w:ascii="Traditional Arabic" w:hAnsi="Traditional Arabic" w:cs="Traditional Arabic"/>
          <w:sz w:val="32"/>
          <w:szCs w:val="32"/>
          <w:rtl/>
        </w:rPr>
        <w:t>: تم العثور على محاريث في مصر القديمة يعود تاريخها إلى 4000 قبل الميلاد.</w:t>
      </w:r>
    </w:p>
    <w:p w14:paraId="340163D8" w14:textId="77777777" w:rsidR="003C4022" w:rsidRPr="00036565" w:rsidRDefault="003C4022" w:rsidP="003C4022">
      <w:pPr>
        <w:bidi/>
        <w:spacing w:after="0" w:line="276" w:lineRule="auto"/>
        <w:jc w:val="both"/>
        <w:rPr>
          <w:rFonts w:ascii="Traditional Arabic" w:hAnsi="Traditional Arabic" w:cs="Traditional Arabic"/>
          <w:b/>
          <w:bCs/>
          <w:sz w:val="32"/>
          <w:szCs w:val="32"/>
        </w:rPr>
      </w:pPr>
      <w:r w:rsidRPr="00036565">
        <w:rPr>
          <w:rFonts w:ascii="Traditional Arabic" w:hAnsi="Traditional Arabic" w:cs="Traditional Arabic"/>
          <w:sz w:val="32"/>
          <w:szCs w:val="32"/>
          <w:rtl/>
        </w:rPr>
        <w:t xml:space="preserve">  </w:t>
      </w:r>
      <w:r w:rsidRPr="00036565">
        <w:rPr>
          <w:rFonts w:ascii="Traditional Arabic" w:hAnsi="Traditional Arabic" w:cs="Traditional Arabic"/>
          <w:b/>
          <w:bCs/>
          <w:sz w:val="32"/>
          <w:szCs w:val="32"/>
          <w:rtl/>
        </w:rPr>
        <w:t>شمال الصين</w:t>
      </w:r>
      <w:r w:rsidRPr="00036565">
        <w:rPr>
          <w:rFonts w:ascii="Traditional Arabic" w:hAnsi="Traditional Arabic" w:cs="Traditional Arabic"/>
          <w:sz w:val="32"/>
          <w:szCs w:val="32"/>
          <w:rtl/>
        </w:rPr>
        <w:t>: يعود تاريخ المحاريث ذات الشفرات المعدنية في الصين إلى حوالي 3000 قبل الميلاد</w:t>
      </w:r>
      <w:r w:rsidRPr="00036565">
        <w:rPr>
          <w:rFonts w:ascii="Traditional Arabic" w:hAnsi="Traditional Arabic" w:cs="Traditional Arabic"/>
          <w:b/>
          <w:bCs/>
          <w:sz w:val="32"/>
          <w:szCs w:val="32"/>
          <w:rtl/>
        </w:rPr>
        <w:t>.</w:t>
      </w:r>
      <w:r w:rsidRPr="00036565">
        <w:rPr>
          <w:rStyle w:val="FootnoteReference"/>
          <w:rFonts w:ascii="Traditional Arabic" w:hAnsi="Traditional Arabic" w:cs="Traditional Arabic"/>
          <w:b/>
          <w:bCs/>
          <w:sz w:val="32"/>
          <w:szCs w:val="32"/>
          <w:rtl/>
        </w:rPr>
        <w:footnoteReference w:id="4"/>
      </w:r>
    </w:p>
    <w:p w14:paraId="346026EB" w14:textId="1013C65F" w:rsidR="003C4022" w:rsidRPr="00036565" w:rsidRDefault="003C4022" w:rsidP="003C4022">
      <w:pPr>
        <w:bidi/>
        <w:spacing w:after="0" w:line="276" w:lineRule="auto"/>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w:t>
      </w:r>
      <w:r w:rsidRPr="00036565">
        <w:rPr>
          <w:rFonts w:ascii="Traditional Arabic" w:hAnsi="Traditional Arabic" w:cs="Traditional Arabic"/>
          <w:b/>
          <w:bCs/>
          <w:sz w:val="32"/>
          <w:szCs w:val="32"/>
          <w:rtl/>
        </w:rPr>
        <w:t>المجتمعات الصناعية (مجتمع صناعي)</w:t>
      </w:r>
    </w:p>
    <w:p w14:paraId="67C1C9DA" w14:textId="77777777" w:rsidR="003C4022" w:rsidRPr="00036565" w:rsidRDefault="003C4022" w:rsidP="003C4022">
      <w:pPr>
        <w:bidi/>
        <w:spacing w:after="0" w:line="276" w:lineRule="auto"/>
        <w:jc w:val="both"/>
        <w:rPr>
          <w:rFonts w:ascii="Traditional Arabic" w:hAnsi="Traditional Arabic" w:cs="Traditional Arabic"/>
          <w:sz w:val="32"/>
          <w:szCs w:val="32"/>
        </w:rPr>
      </w:pPr>
      <w:r w:rsidRPr="00036565">
        <w:rPr>
          <w:rFonts w:ascii="Traditional Arabic" w:hAnsi="Traditional Arabic" w:cs="Traditional Arabic"/>
          <w:sz w:val="32"/>
          <w:szCs w:val="32"/>
          <w:rtl/>
        </w:rPr>
        <w:t>استخدمت المجتمعات الصناعية مصادر الطاقة الخارجية، مثل الوقود الأحفوري، لزيادة معدل وحجم الإنتاج. يتم استبدال العمالة البشرية بالآلات، لذلك يميل العمال إلى التحول نحو أنشطة القطاع الثالث.</w:t>
      </w:r>
    </w:p>
    <w:p w14:paraId="41BDC96F" w14:textId="40898D0C" w:rsidR="003C4022" w:rsidRPr="00036565" w:rsidRDefault="003C4022" w:rsidP="00563823">
      <w:pPr>
        <w:bidi/>
        <w:spacing w:after="0" w:line="276" w:lineRule="auto"/>
        <w:jc w:val="both"/>
        <w:rPr>
          <w:rFonts w:ascii="Traditional Arabic" w:hAnsi="Traditional Arabic" w:cs="Traditional Arabic"/>
          <w:sz w:val="32"/>
          <w:szCs w:val="32"/>
        </w:rPr>
      </w:pPr>
      <w:r w:rsidRPr="00036565">
        <w:rPr>
          <w:rFonts w:ascii="Traditional Arabic" w:hAnsi="Traditional Arabic" w:cs="Traditional Arabic"/>
          <w:sz w:val="32"/>
          <w:szCs w:val="32"/>
          <w:rtl/>
        </w:rPr>
        <w:t>وفي أوروبا في القرن الثامن عشر، أتاحت الثورة الصناعية استبدال الخيول والعمال البشريين بالآلات. وكانت الطاقة البخارية أكثر كفاءة بكثير من القوة البشرية أو قوة الحصان، لذلك أصبحت المجتمعات تعتمد أكثر فأكثر على قوة الآلة لإنتاج السلع.</w:t>
      </w:r>
      <w:r w:rsidR="00563823">
        <w:rPr>
          <w:rFonts w:ascii="Traditional Arabic" w:hAnsi="Traditional Arabic" w:cs="Traditional Arabic" w:hint="cs"/>
          <w:sz w:val="32"/>
          <w:szCs w:val="32"/>
          <w:rtl/>
        </w:rPr>
        <w:t xml:space="preserve"> </w:t>
      </w:r>
      <w:r w:rsidRPr="00036565">
        <w:rPr>
          <w:rFonts w:ascii="Traditional Arabic" w:hAnsi="Traditional Arabic" w:cs="Traditional Arabic"/>
          <w:sz w:val="32"/>
          <w:szCs w:val="32"/>
          <w:rtl/>
        </w:rPr>
        <w:t>وأدى ذلك إلى زيادات هائلة في الكفاءة، الأمر الذي أدى بدوره إلى فائض أكبر من السلع لم يسبق له مثيل. ارتفع عدد السكان إلى مستويات غير مسبوقة (كما أوضح نموذج التحول الديموغرافي). حققت زيادة الإنتاجية المزيد من السلع متاحة للجميع.</w:t>
      </w:r>
    </w:p>
    <w:p w14:paraId="28E57DDE" w14:textId="77777777" w:rsidR="003C4022" w:rsidRPr="00036565" w:rsidRDefault="003C4022" w:rsidP="003C4022">
      <w:pPr>
        <w:bidi/>
        <w:spacing w:after="0" w:line="276" w:lineRule="auto"/>
        <w:jc w:val="both"/>
        <w:rPr>
          <w:rFonts w:ascii="Traditional Arabic" w:hAnsi="Traditional Arabic" w:cs="Traditional Arabic"/>
          <w:sz w:val="32"/>
          <w:szCs w:val="32"/>
        </w:rPr>
      </w:pPr>
      <w:r w:rsidRPr="00036565">
        <w:rPr>
          <w:rFonts w:ascii="Traditional Arabic" w:hAnsi="Traditional Arabic" w:cs="Traditional Arabic"/>
          <w:sz w:val="32"/>
          <w:szCs w:val="32"/>
          <w:rtl/>
        </w:rPr>
        <w:t>حلت مصانع النسيج محل الحرفيين، وبدأ المزارعون في استخدام آلات البذر الميكانيكية وآلات الدرس، وأصبحت المنتجات مثل الورق والزجاج متاحة بسهولة للمواطن العادي. وأصبح بإمكان المزيد من الناس الحصول على التعليم والرعاية الصحية أكثر من أي وقت مضى.</w:t>
      </w:r>
    </w:p>
    <w:p w14:paraId="071A7FA0" w14:textId="77777777" w:rsidR="003C4022" w:rsidRPr="00036565" w:rsidRDefault="003C4022" w:rsidP="003C4022">
      <w:pPr>
        <w:bidi/>
        <w:spacing w:after="0" w:line="276" w:lineRule="auto"/>
        <w:jc w:val="both"/>
        <w:rPr>
          <w:rFonts w:ascii="Traditional Arabic" w:hAnsi="Traditional Arabic" w:cs="Traditional Arabic"/>
          <w:sz w:val="32"/>
          <w:szCs w:val="32"/>
        </w:rPr>
      </w:pPr>
      <w:r w:rsidRPr="00036565">
        <w:rPr>
          <w:rFonts w:ascii="Traditional Arabic" w:hAnsi="Traditional Arabic" w:cs="Traditional Arabic"/>
          <w:sz w:val="32"/>
          <w:szCs w:val="32"/>
          <w:rtl/>
        </w:rPr>
        <w:lastRenderedPageBreak/>
        <w:t>وكان من نتائج زيادة الإنتاجية ظهور المراكز الحضرية. فضل العمال العيش بالقرب من المصانع، وكان على صناعة الخدمات توفير العمالة للعمال، لذلك أصبح عدد سكان المدن أكبر فأكبر. ومن أمثلة على المجتمع الصناعي نجد إنجلترا هي واحدة من أولى المجتمعات الصناعية واسعة النطاق، مما مكنها من أن تصبح قوة عظمى عالمية. ومع تسارع التكنولوجيا بسرعة، أصبحت معظم أوروبا وأمريكا الشمالية صناعية.</w:t>
      </w:r>
    </w:p>
    <w:p w14:paraId="1E9EC5AA" w14:textId="77777777" w:rsidR="003C4022" w:rsidRPr="00036565" w:rsidRDefault="003C4022" w:rsidP="003C4022">
      <w:pPr>
        <w:bidi/>
        <w:spacing w:after="0" w:line="276" w:lineRule="auto"/>
        <w:jc w:val="both"/>
        <w:rPr>
          <w:rFonts w:ascii="Traditional Arabic" w:hAnsi="Traditional Arabic" w:cs="Traditional Arabic"/>
          <w:sz w:val="32"/>
          <w:szCs w:val="32"/>
        </w:rPr>
      </w:pPr>
      <w:r w:rsidRPr="00036565">
        <w:rPr>
          <w:rFonts w:ascii="Traditional Arabic" w:hAnsi="Traditional Arabic" w:cs="Traditional Arabic"/>
          <w:sz w:val="32"/>
          <w:szCs w:val="32"/>
          <w:rtl/>
        </w:rPr>
        <w:t>واليوم، لا تزال العديد من المجتمعات النامية تعتمد على الاقتصادات الصناعية؛ وفي تلك المجتمعات، غالبًا ما يكون هناك مزيج من المناطق الصناعية وما بعد الصناعية.</w:t>
      </w:r>
    </w:p>
    <w:p w14:paraId="4C11C880" w14:textId="77777777" w:rsidR="003C4022" w:rsidRPr="00036565" w:rsidRDefault="003C4022" w:rsidP="003C4022">
      <w:pPr>
        <w:bidi/>
        <w:spacing w:after="0" w:line="276" w:lineRule="auto"/>
        <w:jc w:val="both"/>
        <w:rPr>
          <w:rFonts w:ascii="Traditional Arabic" w:hAnsi="Traditional Arabic" w:cs="Traditional Arabic"/>
          <w:b/>
          <w:bCs/>
          <w:sz w:val="32"/>
          <w:szCs w:val="32"/>
        </w:rPr>
      </w:pPr>
      <w:r w:rsidRPr="00036565">
        <w:rPr>
          <w:rFonts w:ascii="Traditional Arabic" w:hAnsi="Traditional Arabic" w:cs="Traditional Arabic"/>
          <w:b/>
          <w:bCs/>
          <w:sz w:val="32"/>
          <w:szCs w:val="32"/>
        </w:rPr>
        <w:t>6</w:t>
      </w:r>
      <w:r w:rsidRPr="00036565">
        <w:rPr>
          <w:rFonts w:ascii="Traditional Arabic" w:hAnsi="Traditional Arabic" w:cs="Traditional Arabic"/>
          <w:b/>
          <w:bCs/>
          <w:sz w:val="32"/>
          <w:szCs w:val="32"/>
          <w:rtl/>
        </w:rPr>
        <w:t>. مجتمعات ما بعد الصناعة (مجتمع ما بعد الصناعة)</w:t>
      </w:r>
    </w:p>
    <w:p w14:paraId="6145A3C0" w14:textId="77777777" w:rsidR="003C4022" w:rsidRPr="00036565" w:rsidRDefault="003C4022" w:rsidP="003C4022">
      <w:pPr>
        <w:bidi/>
        <w:spacing w:after="0" w:line="276" w:lineRule="auto"/>
        <w:jc w:val="both"/>
        <w:rPr>
          <w:rFonts w:ascii="Traditional Arabic" w:hAnsi="Traditional Arabic" w:cs="Traditional Arabic"/>
          <w:sz w:val="32"/>
          <w:szCs w:val="32"/>
        </w:rPr>
      </w:pPr>
      <w:r w:rsidRPr="00036565">
        <w:rPr>
          <w:rFonts w:ascii="Traditional Arabic" w:hAnsi="Traditional Arabic" w:cs="Traditional Arabic"/>
          <w:sz w:val="32"/>
          <w:szCs w:val="32"/>
          <w:rtl/>
        </w:rPr>
        <w:t>مجتمعات ما بعد الصناعة هي تلك المجتمعات التي تهيمن عليها المعلومات والخدمات والتكنولوجيا المتقدمة بدلاً من إنتاج السلع الملموسة. لذا، فإن قطاع الخدمات (الخدمات) في مجتمع ما بعد الصناعة يميل إلى أن يكون أقوى من قطاعه الثانوي (التصنيعي). ولهذا السبب يشار إليها غالبًا باسم "مجتمعات المعلومات" أو "المجتمعات الرقمية".</w:t>
      </w:r>
    </w:p>
    <w:p w14:paraId="47A7E101" w14:textId="74479097" w:rsidR="003C4022" w:rsidRDefault="00563823" w:rsidP="003C4022">
      <w:pPr>
        <w:bidi/>
        <w:spacing w:after="0" w:line="276"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3C4022" w:rsidRPr="00036565">
        <w:rPr>
          <w:rFonts w:ascii="Traditional Arabic" w:hAnsi="Traditional Arabic" w:cs="Traditional Arabic"/>
          <w:sz w:val="32"/>
          <w:szCs w:val="32"/>
          <w:rtl/>
        </w:rPr>
        <w:t>تتمتع مجتمعات ما بعد الصناعة بالعديد من الخصائص التي تميزها عن المجتمعات الصناعية. الأول هو التحول من إنتاج السلع إلى تقديم الخدمات. والثاني هو القيمة التي توليها هذه المجتمعات للمعرفة. السمة الثالثة هي أنه في مجتمعات ما بعد الصناعة، يميل العمل العمالي إلى الانخفاض في أهميته، في حين يميل العمل المهني إلى أن يكون ذا قيمة عالية. من أهم الخصائص الحيوية لمجتمع ما بعد الصناعة هو تقديره العالي للمعرفة. وبما أن قطاع الخدمات له أهمية أساسية في مثل هذه المجتمعات، فإن المعرفة تصبح أكثر قوة. وتلعب المعاهد البحثية ومراكز الأبحاث والجامعات والمدارس دوراً أكبر. كل هذا يؤدي إلى زيادة عامة في الخبرة. ومن أمثلة على مجتمعات ما بعد الصناعة يمكن اعتبار مناطق معظم العالم المتقدم في القرن الحادي والعشرين ما بعد الصناعة. وهذا يشمل، على سبيل المثال لا الحصر: الولايات المتحدة الأمريكية، المملكة المتحدة، فرنسا، ألمانيا، سنغافورة.</w:t>
      </w:r>
      <w:r w:rsidR="003C4022" w:rsidRPr="00036565">
        <w:rPr>
          <w:rStyle w:val="FootnoteReference"/>
          <w:rFonts w:ascii="Traditional Arabic" w:hAnsi="Traditional Arabic" w:cs="Traditional Arabic"/>
          <w:sz w:val="32"/>
          <w:szCs w:val="32"/>
          <w:rtl/>
        </w:rPr>
        <w:footnoteReference w:id="5"/>
      </w:r>
    </w:p>
    <w:p w14:paraId="71BD7BD3" w14:textId="77777777" w:rsidR="00563823" w:rsidRDefault="00563823" w:rsidP="00563823">
      <w:pPr>
        <w:bidi/>
        <w:spacing w:after="0" w:line="276" w:lineRule="auto"/>
        <w:jc w:val="both"/>
        <w:rPr>
          <w:rFonts w:ascii="Traditional Arabic" w:hAnsi="Traditional Arabic" w:cs="Traditional Arabic"/>
          <w:sz w:val="32"/>
          <w:szCs w:val="32"/>
          <w:rtl/>
        </w:rPr>
      </w:pPr>
    </w:p>
    <w:p w14:paraId="0D779E3F" w14:textId="77777777" w:rsidR="00563823" w:rsidRPr="00036565" w:rsidRDefault="00563823" w:rsidP="00563823">
      <w:pPr>
        <w:bidi/>
        <w:spacing w:after="0" w:line="276" w:lineRule="auto"/>
        <w:jc w:val="both"/>
        <w:rPr>
          <w:rFonts w:ascii="Traditional Arabic" w:hAnsi="Traditional Arabic" w:cs="Traditional Arabic"/>
          <w:sz w:val="32"/>
          <w:szCs w:val="32"/>
        </w:rPr>
      </w:pPr>
    </w:p>
    <w:p w14:paraId="0E6FBE8E" w14:textId="69AE4AE1" w:rsidR="003C4022" w:rsidRPr="00036565" w:rsidRDefault="003C4022" w:rsidP="003C4022">
      <w:pPr>
        <w:bidi/>
        <w:spacing w:after="0" w:line="276" w:lineRule="auto"/>
        <w:jc w:val="both"/>
        <w:rPr>
          <w:rFonts w:ascii="Traditional Arabic" w:hAnsi="Traditional Arabic" w:cs="Traditional Arabic"/>
          <w:b/>
          <w:bCs/>
          <w:sz w:val="32"/>
          <w:szCs w:val="32"/>
          <w:lang w:bidi="ar-EG"/>
        </w:rPr>
      </w:pPr>
      <w:r>
        <w:rPr>
          <w:rFonts w:ascii="Traditional Arabic" w:hAnsi="Traditional Arabic" w:cs="Traditional Arabic" w:hint="cs"/>
          <w:b/>
          <w:bCs/>
          <w:sz w:val="32"/>
          <w:szCs w:val="32"/>
          <w:rtl/>
          <w:lang w:bidi="ar-EG"/>
        </w:rPr>
        <w:lastRenderedPageBreak/>
        <w:t>ثا</w:t>
      </w:r>
      <w:r w:rsidR="00563823">
        <w:rPr>
          <w:rFonts w:ascii="Traditional Arabic" w:hAnsi="Traditional Arabic" w:cs="Traditional Arabic" w:hint="cs"/>
          <w:b/>
          <w:bCs/>
          <w:sz w:val="32"/>
          <w:szCs w:val="32"/>
          <w:rtl/>
          <w:lang w:bidi="ar-EG"/>
        </w:rPr>
        <w:t>لثا</w:t>
      </w:r>
      <w:r>
        <w:rPr>
          <w:rFonts w:ascii="Traditional Arabic" w:hAnsi="Traditional Arabic" w:cs="Traditional Arabic" w:hint="cs"/>
          <w:b/>
          <w:bCs/>
          <w:sz w:val="32"/>
          <w:szCs w:val="32"/>
          <w:rtl/>
          <w:lang w:bidi="ar-EG"/>
        </w:rPr>
        <w:t>: الحراك الاجتماعي في</w:t>
      </w:r>
      <w:r w:rsidR="00563823">
        <w:rPr>
          <w:rFonts w:ascii="Traditional Arabic" w:hAnsi="Traditional Arabic" w:cs="Traditional Arabic" w:hint="cs"/>
          <w:b/>
          <w:bCs/>
          <w:sz w:val="32"/>
          <w:szCs w:val="32"/>
          <w:rtl/>
          <w:lang w:bidi="ar-EG"/>
        </w:rPr>
        <w:t xml:space="preserve"> المجتمع</w:t>
      </w:r>
      <w:r>
        <w:rPr>
          <w:rFonts w:ascii="Traditional Arabic" w:hAnsi="Traditional Arabic" w:cs="Traditional Arabic" w:hint="cs"/>
          <w:b/>
          <w:bCs/>
          <w:sz w:val="32"/>
          <w:szCs w:val="32"/>
          <w:rtl/>
          <w:lang w:bidi="ar-EG"/>
        </w:rPr>
        <w:t xml:space="preserve"> </w:t>
      </w:r>
      <w:r w:rsidRPr="00036565">
        <w:rPr>
          <w:rFonts w:ascii="Traditional Arabic" w:hAnsi="Traditional Arabic" w:cs="Traditional Arabic"/>
          <w:b/>
          <w:bCs/>
          <w:sz w:val="32"/>
          <w:szCs w:val="32"/>
          <w:rtl/>
          <w:lang w:bidi="ar-EG"/>
        </w:rPr>
        <w:t xml:space="preserve">المفتوح والمغلق </w:t>
      </w:r>
      <w:r w:rsidR="00563823">
        <w:rPr>
          <w:rFonts w:ascii="Traditional Arabic" w:hAnsi="Traditional Arabic" w:cs="Traditional Arabic" w:hint="cs"/>
          <w:b/>
          <w:bCs/>
          <w:sz w:val="32"/>
          <w:szCs w:val="32"/>
          <w:rtl/>
          <w:lang w:bidi="ar-EG"/>
        </w:rPr>
        <w:t>:</w:t>
      </w:r>
    </w:p>
    <w:p w14:paraId="6FEE033B" w14:textId="7194E7CD" w:rsidR="003C4022" w:rsidRPr="00036565" w:rsidRDefault="00563823" w:rsidP="003C4022">
      <w:pPr>
        <w:bidi/>
        <w:spacing w:after="0" w:line="276" w:lineRule="auto"/>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     في </w:t>
      </w:r>
      <w:r w:rsidR="003C4022" w:rsidRPr="00036565">
        <w:rPr>
          <w:rFonts w:ascii="Traditional Arabic" w:hAnsi="Traditional Arabic" w:cs="Traditional Arabic"/>
          <w:sz w:val="32"/>
          <w:szCs w:val="32"/>
          <w:rtl/>
          <w:lang w:bidi="ar-EG"/>
        </w:rPr>
        <w:t>مجتمعات المفتوحة والمجتمعات المغلقة قدم كارل بوبر هذه المصطلحات في كتابه "المجتمع المفتوح وأعداؤه" (1945)، وتم استكشافها بشكل أكبر في "فقر التاريخية" (1957). جادل بوبر بأن كلا من العلم والتاريخ البشري هما في الأساس غير محددين ومائعين. وبتطبيق ذلك على النظرية الاجتماعية، أنتج هذا هجوم بوبر الحيوي والمدمر على التاريخانية. نظريات مثل نظريات أفلاطون وهيغل وماركس، التي تقترح وجود قوانين التاريخ ومصير إنساني يمكن معرفته، رفضها بوبر باعتبارها غير قابلة للدعم علميا وخطيرة سياسيا. واقترح أن كل هذه النظريات ستؤدي إلى أنظمة استبدادية وغير إنسانية، والتي وصفها بالمجتمعات المغلقة لأنها كانت مغلقة أمام عمليات التغيير الطبيعية. وعلى النقيض من ذلك، كانت المجتمعات المفتوحة مبنية على النشاط والإبداع والابتكار لدى العديد من الأفراد، وكانت تتطور على نحو لا يمكن التنبؤ به من خلال الهندسة الاجتماعية التدريجية. إنها تلك المجتمعات التي تتم فيها مراقبة السياسات الاجتماعية بحثًا عن عواقب غير مقصودة، ويتم انتقادها علنًا وتعديلها في ضوء مثل هذه الانتقادات. ويجب أن تكون مثل هذه المجتمعات ليبرالية وديمقراطية، بمعنى أنه يجب أن يكون من الممكن عزل الحكام الذين يفشلون في الاستجابة للانتقادات المبررة من مناصبهم. وكان التناقض الضمني بطبيعة الحال بين النظام الشمولي الذي كان قائما في الاتحاد السوفييتي آنذاك (كمجتمع مغلق) والديمقراطيات الغربية (كمجتمعات مفتوحة). كان يُنظر إلى حجج بوبر على أنها دحض منطقي حاسم لأسس الماركسية ذاتها، سواء ادعائها بالمكانة العلمية، أو ادعاءها بالكشف عن مسار التاريخ المستقبلي.</w:t>
      </w:r>
    </w:p>
    <w:p w14:paraId="07663158" w14:textId="1A01DEE6" w:rsidR="003C4022" w:rsidRPr="00036565" w:rsidRDefault="00563823" w:rsidP="00563823">
      <w:pPr>
        <w:pStyle w:val="Normal1"/>
        <w:bidi/>
        <w:spacing w:after="0"/>
        <w:jc w:val="both"/>
        <w:rPr>
          <w:rFonts w:ascii="Traditional Arabic" w:hAnsi="Traditional Arabic" w:cs="Traditional Arabic"/>
          <w:color w:val="auto"/>
          <w:sz w:val="32"/>
          <w:szCs w:val="32"/>
        </w:rPr>
      </w:pPr>
      <w:r>
        <w:rPr>
          <w:rFonts w:ascii="Traditional Arabic" w:hAnsi="Traditional Arabic" w:cs="Traditional Arabic" w:hint="cs"/>
          <w:sz w:val="32"/>
          <w:szCs w:val="32"/>
          <w:rtl/>
          <w:lang w:bidi="ar-EG"/>
        </w:rPr>
        <w:t xml:space="preserve">       </w:t>
      </w:r>
      <w:r w:rsidR="003C4022" w:rsidRPr="00036565">
        <w:rPr>
          <w:rFonts w:ascii="Traditional Arabic" w:hAnsi="Traditional Arabic" w:cs="Traditional Arabic"/>
          <w:sz w:val="32"/>
          <w:szCs w:val="32"/>
          <w:rtl/>
          <w:lang w:bidi="ar-EG"/>
        </w:rPr>
        <w:t xml:space="preserve">هذا وإذا تكلمنا على الحراك الاجتماعي في المجتمع المفتوح والمغلق نجد بأن </w:t>
      </w:r>
      <w:r w:rsidR="003C4022" w:rsidRPr="00036565">
        <w:rPr>
          <w:rFonts w:ascii="Traditional Arabic" w:hAnsi="Traditional Arabic" w:cs="Traditional Arabic"/>
          <w:sz w:val="32"/>
          <w:szCs w:val="32"/>
          <w:rtl/>
        </w:rPr>
        <w:t xml:space="preserve">المجتمعات المفتوحة كالمجتمعات الديموقراطية أو الرأسمالية تفتح المجال للأفراد بالحراك الاجتماعي  وذلك لغياب الحواجز سواء العرقية أو الدينية أو السياسية، فطموح الفرد و ورغبته في حسين مستواه المعيشي و واكتساب لمستوى علمي و تقني و والتحاق  بمنصب أعلى و ومشاركته في نشاطات اقتصادية و سياسية معينة قد يسمح لو بالارتقاء و والحراك الاجتماعي دون الرجوع الى مكانة أسرته او عقيدته أو ماضيه الاجتماعي، على العكس من ذلك نجد  المجتمع المغلق مجتمع مليء  بالحواجز السياسية و الاقتصادية و العرقية و الدينية  كالمجتمعات الديكتاتورية او الملكية، حيث ان الفرد ليس لو دخل في مكانته الاجتماعية  في المجتمع فيي غالبا ما تورث لو من خلال الوالدين، </w:t>
      </w:r>
      <w:r w:rsidR="003C4022" w:rsidRPr="00036565">
        <w:rPr>
          <w:rFonts w:ascii="Traditional Arabic" w:hAnsi="Traditional Arabic" w:cs="Traditional Arabic"/>
          <w:sz w:val="32"/>
          <w:szCs w:val="32"/>
          <w:rtl/>
        </w:rPr>
        <w:lastRenderedPageBreak/>
        <w:t>هذا المجتمع  لا يعترف بالجهود والعمل الشخصي للفرد كون  المكانة الاجتماعية تكون موروثة و ليست مكتسبة</w:t>
      </w:r>
      <w:r w:rsidR="003C4022" w:rsidRPr="00036565">
        <w:rPr>
          <w:rFonts w:ascii="Traditional Arabic" w:hAnsi="Traditional Arabic" w:cs="Traditional Arabic"/>
          <w:sz w:val="32"/>
          <w:szCs w:val="32"/>
        </w:rPr>
        <w:t xml:space="preserve"> </w:t>
      </w:r>
      <w:r w:rsidR="003C4022" w:rsidRPr="00036565">
        <w:rPr>
          <w:rFonts w:ascii="Traditional Arabic" w:hAnsi="Traditional Arabic" w:cs="Traditional Arabic"/>
          <w:sz w:val="32"/>
          <w:szCs w:val="32"/>
          <w:rtl/>
        </w:rPr>
        <w:t>، مما يؤدي إلى جمود اجتماعي بدل من الحراك.</w:t>
      </w:r>
      <w:r w:rsidR="003C4022" w:rsidRPr="00036565">
        <w:rPr>
          <w:rFonts w:ascii="Traditional Arabic" w:hAnsi="Traditional Arabic" w:cs="Traditional Arabic"/>
          <w:color w:val="auto"/>
          <w:sz w:val="32"/>
          <w:szCs w:val="32"/>
          <w:rtl/>
        </w:rPr>
        <w:t xml:space="preserve"> وكما يرى (رالف تيرنر) أن عملية الحراك الاجتماعي في المجتمع المفتوح حراك تسابقي. وكلما ازداد الانفتاح زاد الحراك الاجتماعي وكلما قل الانفتاح قل الحراك الاجتماعي. </w:t>
      </w:r>
      <w:r>
        <w:rPr>
          <w:rFonts w:ascii="Traditional Arabic" w:hAnsi="Traditional Arabic" w:cs="Traditional Arabic" w:hint="cs"/>
          <w:color w:val="auto"/>
          <w:sz w:val="32"/>
          <w:szCs w:val="32"/>
          <w:rtl/>
        </w:rPr>
        <w:t xml:space="preserve"> </w:t>
      </w:r>
      <w:r w:rsidR="003C4022" w:rsidRPr="00036565">
        <w:rPr>
          <w:rFonts w:ascii="Traditional Arabic" w:hAnsi="Traditional Arabic" w:cs="Traditional Arabic"/>
          <w:color w:val="auto"/>
          <w:sz w:val="32"/>
          <w:szCs w:val="32"/>
          <w:rtl/>
        </w:rPr>
        <w:t>على عكس مجتمعات النظام القديم (أو حتى المجتمعات الطبقية في الهند أو السودان) المكونة من مجموعات وراثية، في مجتمع ديمقراطي وليبرالي تمامًا، يجب أن يتمتع الأفراد بنفس الفرص للوصول إلى مناصب اجتماعية مختلفة.</w:t>
      </w:r>
      <w:r w:rsidR="003C4022">
        <w:rPr>
          <w:rStyle w:val="FootnoteReference"/>
          <w:rFonts w:ascii="Traditional Arabic" w:hAnsi="Traditional Arabic" w:cs="Traditional Arabic"/>
          <w:color w:val="auto"/>
          <w:sz w:val="32"/>
          <w:szCs w:val="32"/>
          <w:rtl/>
        </w:rPr>
        <w:footnoteReference w:id="6"/>
      </w:r>
    </w:p>
    <w:p w14:paraId="767FB6A9" w14:textId="31D0F745" w:rsidR="003C4022" w:rsidRPr="00036565" w:rsidRDefault="00563823" w:rsidP="003C4022">
      <w:pPr>
        <w:pStyle w:val="Normal1"/>
        <w:bidi/>
        <w:spacing w:after="0"/>
        <w:jc w:val="both"/>
        <w:rPr>
          <w:rFonts w:ascii="Traditional Arabic" w:hAnsi="Traditional Arabic" w:cs="Traditional Arabic"/>
          <w:color w:val="auto"/>
          <w:sz w:val="32"/>
          <w:szCs w:val="32"/>
          <w:rtl/>
        </w:rPr>
      </w:pPr>
      <w:r>
        <w:rPr>
          <w:rFonts w:ascii="Traditional Arabic" w:hAnsi="Traditional Arabic" w:cs="Traditional Arabic" w:hint="cs"/>
          <w:color w:val="auto"/>
          <w:sz w:val="32"/>
          <w:szCs w:val="32"/>
          <w:rtl/>
        </w:rPr>
        <w:t xml:space="preserve">      </w:t>
      </w:r>
      <w:r w:rsidR="003C4022" w:rsidRPr="00036565">
        <w:rPr>
          <w:rFonts w:ascii="Traditional Arabic" w:hAnsi="Traditional Arabic" w:cs="Traditional Arabic"/>
          <w:color w:val="auto"/>
          <w:sz w:val="32"/>
          <w:szCs w:val="32"/>
          <w:rtl/>
        </w:rPr>
        <w:t>ومع العلم أن هذا المثل الأعلى نادراً ما يتم التحقق منه، فإن تحليل الحراك الاجتماعي يجعل من الممكن تقييم درجة الديمقراطية والجدارة في المجتمع. كلما كان المجتمع أكثر ديمقراطية، قل تحديد الأوضاع، أي تحديدها "مسبقًا"؛ وكلما كان المجتمع أكثر جدارة، كلما اعتمدت المناصب الاجتماعية على المزايا الفردية (اكتساب المعرفة، والخبرة الشخصية، وما إلى ذلك) وليس على الأصل الاجتماعي. ومن ثم فإن دراسة الحراك الاجتماعي تشكل قضية سياسية بقدر ما تتساءل هذه الدراسة عن درجة الديمقراطية وليبرالية المجتمع.</w:t>
      </w:r>
    </w:p>
    <w:p w14:paraId="1C8F6C5B" w14:textId="3DDC2CE5" w:rsidR="003C4022" w:rsidRPr="00036565" w:rsidRDefault="00563823" w:rsidP="003C4022">
      <w:pPr>
        <w:bidi/>
        <w:spacing w:after="0" w:line="276" w:lineRule="auto"/>
        <w:jc w:val="both"/>
        <w:rPr>
          <w:rFonts w:ascii="Traditional Arabic" w:hAnsi="Traditional Arabic" w:cs="Traditional Arabic"/>
          <w:b/>
          <w:bCs/>
          <w:sz w:val="32"/>
          <w:szCs w:val="32"/>
        </w:rPr>
      </w:pPr>
      <w:r>
        <w:rPr>
          <w:rFonts w:ascii="Traditional Arabic" w:hAnsi="Traditional Arabic" w:cs="Traditional Arabic" w:hint="cs"/>
          <w:b/>
          <w:bCs/>
          <w:sz w:val="32"/>
          <w:szCs w:val="32"/>
          <w:rtl/>
          <w:lang w:bidi="ar-EG"/>
        </w:rPr>
        <w:t>رابعا</w:t>
      </w:r>
      <w:r w:rsidR="003C4022" w:rsidRPr="00036565">
        <w:rPr>
          <w:rFonts w:ascii="Traditional Arabic" w:hAnsi="Traditional Arabic" w:cs="Traditional Arabic"/>
          <w:b/>
          <w:bCs/>
          <w:sz w:val="32"/>
          <w:szCs w:val="32"/>
          <w:rtl/>
        </w:rPr>
        <w:t>: الطبقة والحراك الاجتماعي:</w:t>
      </w:r>
    </w:p>
    <w:p w14:paraId="453C9562" w14:textId="77777777" w:rsidR="003C4022" w:rsidRPr="00036565" w:rsidRDefault="003C4022" w:rsidP="003C4022">
      <w:pPr>
        <w:bidi/>
        <w:spacing w:after="0" w:line="276" w:lineRule="auto"/>
        <w:jc w:val="both"/>
        <w:rPr>
          <w:rFonts w:ascii="Traditional Arabic" w:hAnsi="Traditional Arabic" w:cs="Traditional Arabic"/>
          <w:sz w:val="32"/>
          <w:szCs w:val="32"/>
        </w:rPr>
      </w:pPr>
      <w:r w:rsidRPr="00036565">
        <w:rPr>
          <w:rFonts w:ascii="Traditional Arabic" w:hAnsi="Traditional Arabic" w:cs="Traditional Arabic"/>
          <w:sz w:val="32"/>
          <w:szCs w:val="32"/>
          <w:rtl/>
        </w:rPr>
        <w:t>سنناقش الآن أهمية الحراك الطبقي والاجتماعي أدناه:</w:t>
      </w:r>
    </w:p>
    <w:p w14:paraId="331607FB" w14:textId="76841BB6" w:rsidR="003C4022" w:rsidRPr="00563823" w:rsidRDefault="003C4022" w:rsidP="00563823">
      <w:pPr>
        <w:pStyle w:val="ListParagraph"/>
        <w:bidi/>
        <w:spacing w:after="0" w:line="276" w:lineRule="auto"/>
        <w:ind w:left="0"/>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1-</w:t>
      </w:r>
      <w:r w:rsidRPr="00036565">
        <w:rPr>
          <w:rFonts w:ascii="Traditional Arabic" w:hAnsi="Traditional Arabic" w:cs="Traditional Arabic"/>
          <w:b/>
          <w:bCs/>
          <w:sz w:val="32"/>
          <w:szCs w:val="32"/>
          <w:rtl/>
        </w:rPr>
        <w:t>أهمية الحراك الطبقي:</w:t>
      </w:r>
      <w:r w:rsidR="00563823">
        <w:rPr>
          <w:rFonts w:ascii="Traditional Arabic" w:hAnsi="Traditional Arabic" w:cs="Traditional Arabic" w:hint="cs"/>
          <w:b/>
          <w:bCs/>
          <w:sz w:val="32"/>
          <w:szCs w:val="32"/>
          <w:rtl/>
        </w:rPr>
        <w:t xml:space="preserve"> </w:t>
      </w:r>
      <w:r w:rsidRPr="00036565">
        <w:rPr>
          <w:rFonts w:ascii="Traditional Arabic" w:hAnsi="Traditional Arabic" w:cs="Traditional Arabic"/>
          <w:sz w:val="32"/>
          <w:szCs w:val="32"/>
          <w:rtl/>
        </w:rPr>
        <w:t>تعد الطبقات بُعدًا مهمًا للغاية ومنتشرًا في التقسيم الطبقي، كما أن تحليل التنقل على طول الخط الطبقي له أهمية حاسمة ليس فقط كهدف في حد ذاته ولكن أيضًا بسبب تداعياته على العمليات الاجتماعية الأخرى. لقد تم استخدام مدى التنقل كمقياس لـ "انفتاح" المجتمع الصناعي والعالي وتشير معدلات التنقل إلى أن المجتمع يتميز بالإنجاز وليس بالنسب، وأنه من الجدارة أن يحصد الأفراد الاحترام على أساس صفاتهم الشخصية وليس من خلال الثروة والمناصب الموروثة.</w:t>
      </w:r>
      <w:r w:rsidR="00563823">
        <w:rPr>
          <w:rFonts w:ascii="Traditional Arabic" w:hAnsi="Traditional Arabic" w:cs="Traditional Arabic" w:hint="cs"/>
          <w:sz w:val="32"/>
          <w:szCs w:val="32"/>
          <w:rtl/>
        </w:rPr>
        <w:t xml:space="preserve"> </w:t>
      </w:r>
      <w:r w:rsidRPr="00036565">
        <w:rPr>
          <w:rFonts w:ascii="Traditional Arabic" w:hAnsi="Traditional Arabic" w:cs="Traditional Arabic"/>
          <w:sz w:val="32"/>
          <w:szCs w:val="32"/>
          <w:rtl/>
        </w:rPr>
        <w:t>يعد التنقل الطبقي عاملاً حاسماً في فهم تكوين الفصل. كما أن دراسة الحراك الطبقي يمكن أن توفر مؤشرات على فرص الحياة لأفراد المجتمع أي. تأثير الطبقة الأصلية للفرد على فرصة الحياة.</w:t>
      </w:r>
    </w:p>
    <w:p w14:paraId="380E2D7F" w14:textId="2EACB231" w:rsidR="003C4022" w:rsidRPr="00563823" w:rsidRDefault="003C4022" w:rsidP="00563823">
      <w:pPr>
        <w:pStyle w:val="ListParagraph"/>
        <w:bidi/>
        <w:spacing w:after="0" w:line="276" w:lineRule="auto"/>
        <w:ind w:left="0"/>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2-</w:t>
      </w:r>
      <w:r w:rsidRPr="00036565">
        <w:rPr>
          <w:rFonts w:ascii="Traditional Arabic" w:hAnsi="Traditional Arabic" w:cs="Traditional Arabic"/>
          <w:b/>
          <w:bCs/>
          <w:sz w:val="32"/>
          <w:szCs w:val="32"/>
          <w:rtl/>
        </w:rPr>
        <w:t xml:space="preserve"> الحراك وتشكيل الطبقة:</w:t>
      </w:r>
      <w:r w:rsidR="00563823">
        <w:rPr>
          <w:rFonts w:ascii="Traditional Arabic" w:hAnsi="Traditional Arabic" w:cs="Traditional Arabic" w:hint="cs"/>
          <w:b/>
          <w:bCs/>
          <w:sz w:val="32"/>
          <w:szCs w:val="32"/>
          <w:rtl/>
        </w:rPr>
        <w:t xml:space="preserve"> </w:t>
      </w:r>
      <w:r w:rsidRPr="00036565">
        <w:rPr>
          <w:rFonts w:ascii="Traditional Arabic" w:hAnsi="Traditional Arabic" w:cs="Traditional Arabic"/>
          <w:sz w:val="32"/>
          <w:szCs w:val="32"/>
          <w:rtl/>
        </w:rPr>
        <w:t xml:space="preserve">الجانب الأكثر أهمية في تشكيل الطبقة. أبدى عدد كبير من العلماء اهتمامًا كبيرًا بهذا المجال من الدراسة. كان كارل ماركس قلقًا بشأن العلاقة بين التكوين الطبقي والفعل من جهة ومدى </w:t>
      </w:r>
      <w:r w:rsidRPr="00036565">
        <w:rPr>
          <w:rFonts w:ascii="Traditional Arabic" w:hAnsi="Traditional Arabic" w:cs="Traditional Arabic"/>
          <w:sz w:val="32"/>
          <w:szCs w:val="32"/>
          <w:rtl/>
        </w:rPr>
        <w:lastRenderedPageBreak/>
        <w:t>الحراك بين المواقف الطبقية من جهة أخرى. وكان يرى أن البروليتاريا كانت معادية لها عملية تشكيل الطبقة. أيضا في المجتمعات الرأسمالية المتقدمة، توسع الطبقة الوسطى على أساس التجنيد من البروليتاريا. كما اعترف ماركس بأن يُنظر إلى درجة معينة من الجمود على أنها شرط أساسي لا غنى عنه للظهور</w:t>
      </w:r>
      <w:r>
        <w:rPr>
          <w:rFonts w:ascii="Traditional Arabic" w:hAnsi="Traditional Arabic" w:cs="Traditional Arabic" w:hint="cs"/>
          <w:sz w:val="32"/>
          <w:szCs w:val="32"/>
          <w:rtl/>
        </w:rPr>
        <w:t xml:space="preserve"> </w:t>
      </w:r>
      <w:r w:rsidRPr="00036565">
        <w:rPr>
          <w:rFonts w:ascii="Traditional Arabic" w:hAnsi="Traditional Arabic" w:cs="Traditional Arabic"/>
          <w:sz w:val="32"/>
          <w:szCs w:val="32"/>
          <w:rtl/>
        </w:rPr>
        <w:t>من الوعي الطبقي. وبالمثل، أكد فيبر أيضًا على أهمية التواصل الاجتماعي التنقل لتشكيل الطبقة. لقد أدرك فيبر أن عدم القدرة على الحركة هو المحدد الرئيسي للحركة الهوية الاجتماعية والثقافية للطبقة.</w:t>
      </w:r>
    </w:p>
    <w:p w14:paraId="12F424BA" w14:textId="1FC90523" w:rsidR="003C4022" w:rsidRPr="00036565" w:rsidRDefault="00563823" w:rsidP="003C4022">
      <w:pPr>
        <w:bidi/>
        <w:spacing w:after="0" w:line="276" w:lineRule="auto"/>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003C4022" w:rsidRPr="00036565">
        <w:rPr>
          <w:rFonts w:ascii="Traditional Arabic" w:hAnsi="Traditional Arabic" w:cs="Traditional Arabic"/>
          <w:sz w:val="32"/>
          <w:szCs w:val="32"/>
          <w:rtl/>
        </w:rPr>
        <w:t>لقد قدم سوروكين مساهمة رائدة في تحليل ودراسة الحراك الاجتماعي وساهم في تصوره وأنواعه وتوجيهه. إنه يفرق بين المجتمعات "المغلقة" الجامدة وغير المتحركة وغير القابلة للاختراق وتلك "المفتوحة" البلاستيكية أو القابلة للاختراق أو المتنقلة، وغالبًا ما ترتبط طبيعة النظام الطبقي بـ "المجتمع المغلق" حيث نادرًا ما تكون سبل التنقل مقيدة وقليلة. توجد الفصول الدراسية في "المجتمعات" "المفتوحة" التي غالبًا ما توفر فرصًا وافرة للتنقل من خلال الإنجاز. ومن المهم التحقيق في طبيعة التنقل في الطبقة والطبقة لمعرفة مدى تأكيدها للتعميم الذي ذكره</w:t>
      </w:r>
      <w:r w:rsidR="003C4022" w:rsidRPr="00036565">
        <w:rPr>
          <w:rFonts w:ascii="Traditional Arabic" w:hAnsi="Traditional Arabic" w:cs="Traditional Arabic"/>
          <w:sz w:val="32"/>
          <w:szCs w:val="32"/>
        </w:rPr>
        <w:t xml:space="preserve"> </w:t>
      </w:r>
      <w:r w:rsidR="003C4022" w:rsidRPr="00036565">
        <w:rPr>
          <w:rFonts w:ascii="Traditional Arabic" w:hAnsi="Traditional Arabic" w:cs="Traditional Arabic"/>
          <w:sz w:val="32"/>
          <w:szCs w:val="32"/>
          <w:rtl/>
        </w:rPr>
        <w:t>سوروكين.</w:t>
      </w:r>
    </w:p>
    <w:p w14:paraId="3B31A0E7" w14:textId="54636026" w:rsidR="003C4022" w:rsidRPr="00036565" w:rsidRDefault="00563823" w:rsidP="003C4022">
      <w:pPr>
        <w:bidi/>
        <w:spacing w:after="0" w:line="276" w:lineRule="auto"/>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003C4022" w:rsidRPr="00036565">
        <w:rPr>
          <w:rFonts w:ascii="Traditional Arabic" w:hAnsi="Traditional Arabic" w:cs="Traditional Arabic"/>
          <w:sz w:val="32"/>
          <w:szCs w:val="32"/>
          <w:rtl/>
        </w:rPr>
        <w:t>في حين أن الانطباع العام هو أن الطبقة الاجتماعية هي نظام "مغلق" من التقسيم الطبقي، إلا أنه في الواقع غير صحيح. لا يوجد مجتمع ثابت، وحتى في البيئة التقليدية حيث كان الإسناد هو المحدد الرئيسي للوضع المهني والطبيعي للفرد، فإن الحصول على المكافآت والموارد والحراك الاجتماعي لم يكن غائبًا تمامًا.</w:t>
      </w:r>
    </w:p>
    <w:p w14:paraId="79F693A2" w14:textId="6701C9C2" w:rsidR="003C4022" w:rsidRPr="00036565" w:rsidRDefault="00563823" w:rsidP="003C4022">
      <w:pPr>
        <w:bidi/>
        <w:spacing w:after="0" w:line="276" w:lineRule="auto"/>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003C4022" w:rsidRPr="00036565">
        <w:rPr>
          <w:rFonts w:ascii="Traditional Arabic" w:hAnsi="Traditional Arabic" w:cs="Traditional Arabic"/>
          <w:sz w:val="32"/>
          <w:szCs w:val="32"/>
          <w:rtl/>
        </w:rPr>
        <w:t>يتجلى الحراك الاجتماعي في النظام الطبقي في التناقض المتزايد بين الطبقة والمهن، واختفاء التزام، والصلابة فيما يتعلق بالنقاء والتلوث وقبول نمط الحياة العلماني. ويشير سرينيفاس</w:t>
      </w:r>
      <w:r w:rsidR="003C4022" w:rsidRPr="00036565">
        <w:rPr>
          <w:rFonts w:ascii="Traditional Arabic" w:hAnsi="Traditional Arabic" w:cs="Traditional Arabic"/>
          <w:sz w:val="32"/>
          <w:szCs w:val="32"/>
        </w:rPr>
        <w:t xml:space="preserve"> Srinivas </w:t>
      </w:r>
      <w:r w:rsidR="003C4022" w:rsidRPr="00036565">
        <w:rPr>
          <w:rFonts w:ascii="Traditional Arabic" w:hAnsi="Traditional Arabic" w:cs="Traditional Arabic"/>
          <w:sz w:val="32"/>
          <w:szCs w:val="32"/>
          <w:rtl/>
        </w:rPr>
        <w:t xml:space="preserve">  إلى أنه في الأيام الخوالي، كان هناك مصدران رئيسيان للتنقل. الأول كان سيولة النظام السياسي، مما جعل من الممكن للطوائف الجديدة أن تتولى وضع الكاتريا </w:t>
      </w:r>
      <w:proofErr w:type="spellStart"/>
      <w:r w:rsidR="003C4022" w:rsidRPr="00036565">
        <w:rPr>
          <w:rFonts w:ascii="Traditional Arabic" w:hAnsi="Traditional Arabic" w:cs="Traditional Arabic"/>
          <w:sz w:val="32"/>
          <w:szCs w:val="32"/>
        </w:rPr>
        <w:t>Kahatriyas</w:t>
      </w:r>
      <w:proofErr w:type="spellEnd"/>
      <w:r w:rsidR="003C4022" w:rsidRPr="00036565">
        <w:rPr>
          <w:rFonts w:ascii="Traditional Arabic" w:hAnsi="Traditional Arabic" w:cs="Traditional Arabic"/>
          <w:sz w:val="32"/>
          <w:szCs w:val="32"/>
          <w:rtl/>
        </w:rPr>
        <w:t xml:space="preserve"> </w:t>
      </w:r>
      <w:r w:rsidR="003C4022" w:rsidRPr="00036565">
        <w:rPr>
          <w:rFonts w:ascii="Traditional Arabic" w:hAnsi="Traditional Arabic" w:cs="Traditional Arabic"/>
          <w:sz w:val="32"/>
          <w:szCs w:val="32"/>
        </w:rPr>
        <w:t xml:space="preserve"> </w:t>
      </w:r>
      <w:r w:rsidR="003C4022" w:rsidRPr="00036565">
        <w:rPr>
          <w:rFonts w:ascii="Traditional Arabic" w:hAnsi="Traditional Arabic" w:cs="Traditional Arabic"/>
          <w:sz w:val="32"/>
          <w:szCs w:val="32"/>
          <w:rtl/>
        </w:rPr>
        <w:t xml:space="preserve">وممارسة السلطة. السبب الثاني هو توافر الأراضي الهامشية التي يمكن زراعتها. ونتيجة لهذين الطريقين المتاحين للحراك التصاعدي، يمكن لزعماء الطوائف المهيمنة مثل ريديس والمراثا </w:t>
      </w:r>
      <w:r w:rsidR="003C4022" w:rsidRPr="00036565">
        <w:rPr>
          <w:rFonts w:ascii="Traditional Arabic" w:hAnsi="Traditional Arabic" w:cs="Traditional Arabic"/>
          <w:sz w:val="32"/>
          <w:szCs w:val="32"/>
        </w:rPr>
        <w:t xml:space="preserve">Reddis, Marathas </w:t>
      </w:r>
      <w:r w:rsidR="003C4022" w:rsidRPr="00036565">
        <w:rPr>
          <w:rFonts w:ascii="Traditional Arabic" w:hAnsi="Traditional Arabic" w:cs="Traditional Arabic"/>
          <w:sz w:val="32"/>
          <w:szCs w:val="32"/>
          <w:rtl/>
        </w:rPr>
        <w:t>الاستيلاء على السلطة السياسية.</w:t>
      </w:r>
    </w:p>
    <w:p w14:paraId="038AA644" w14:textId="77777777" w:rsidR="003C4022" w:rsidRPr="00036565" w:rsidRDefault="003C4022" w:rsidP="003C4022">
      <w:pPr>
        <w:bidi/>
        <w:spacing w:after="0" w:line="276" w:lineRule="auto"/>
        <w:jc w:val="both"/>
        <w:rPr>
          <w:rFonts w:ascii="Traditional Arabic" w:hAnsi="Traditional Arabic" w:cs="Traditional Arabic"/>
          <w:sz w:val="32"/>
          <w:szCs w:val="32"/>
        </w:rPr>
      </w:pPr>
      <w:r w:rsidRPr="00036565">
        <w:rPr>
          <w:rFonts w:ascii="Traditional Arabic" w:hAnsi="Traditional Arabic" w:cs="Traditional Arabic"/>
          <w:sz w:val="32"/>
          <w:szCs w:val="32"/>
          <w:rtl/>
        </w:rPr>
        <w:lastRenderedPageBreak/>
        <w:t xml:space="preserve">السلطة والمطالبة بوضع كشاتريا. نشأ باتريدارد </w:t>
      </w:r>
      <w:proofErr w:type="spellStart"/>
      <w:r w:rsidRPr="00036565">
        <w:rPr>
          <w:rFonts w:ascii="Traditional Arabic" w:hAnsi="Traditional Arabic" w:cs="Traditional Arabic"/>
          <w:sz w:val="32"/>
          <w:szCs w:val="32"/>
        </w:rPr>
        <w:t>Patridard</w:t>
      </w:r>
      <w:proofErr w:type="spellEnd"/>
      <w:r w:rsidRPr="00036565">
        <w:rPr>
          <w:rFonts w:ascii="Traditional Arabic" w:hAnsi="Traditional Arabic" w:cs="Traditional Arabic"/>
          <w:sz w:val="32"/>
          <w:szCs w:val="32"/>
          <w:rtl/>
        </w:rPr>
        <w:t xml:space="preserve"> ولاية غوجارات</w:t>
      </w:r>
      <w:r w:rsidRPr="00036565">
        <w:rPr>
          <w:rFonts w:ascii="Traditional Arabic" w:hAnsi="Traditional Arabic" w:cs="Traditional Arabic"/>
          <w:sz w:val="32"/>
          <w:szCs w:val="32"/>
        </w:rPr>
        <w:t xml:space="preserve"> Gujarat </w:t>
      </w:r>
      <w:r w:rsidRPr="00036565">
        <w:rPr>
          <w:rFonts w:ascii="Traditional Arabic" w:hAnsi="Traditional Arabic" w:cs="Traditional Arabic"/>
          <w:sz w:val="32"/>
          <w:szCs w:val="32"/>
          <w:rtl/>
        </w:rPr>
        <w:t xml:space="preserve">  كطبقة فلاحية. عندما يصعد زعيم الطبقة المهيمنة إلى رتبة  ملك، يصبح مصدرًا للتنقل للأعضاء الآخرين ويتم تعزيز ذلك من خلال</w:t>
      </w:r>
      <w:r w:rsidRPr="00036565">
        <w:rPr>
          <w:rFonts w:ascii="Traditional Arabic" w:hAnsi="Traditional Arabic" w:cs="Traditional Arabic"/>
          <w:sz w:val="32"/>
          <w:szCs w:val="32"/>
        </w:rPr>
        <w:t xml:space="preserve"> </w:t>
      </w:r>
      <w:r w:rsidRPr="00036565">
        <w:rPr>
          <w:rFonts w:ascii="Traditional Arabic" w:hAnsi="Traditional Arabic" w:cs="Traditional Arabic"/>
          <w:sz w:val="32"/>
          <w:szCs w:val="32"/>
          <w:rtl/>
        </w:rPr>
        <w:t>اعتماد الممارسات وأسلوب حياة الطبقات العليا.</w:t>
      </w:r>
      <w:r w:rsidRPr="00036565">
        <w:rPr>
          <w:rStyle w:val="FootnoteReference"/>
          <w:rFonts w:ascii="Traditional Arabic" w:hAnsi="Traditional Arabic" w:cs="Traditional Arabic"/>
          <w:sz w:val="32"/>
          <w:szCs w:val="32"/>
          <w:rtl/>
        </w:rPr>
        <w:footnoteReference w:id="7"/>
      </w:r>
    </w:p>
    <w:p w14:paraId="5611671B" w14:textId="5EB998F8" w:rsidR="003C4022" w:rsidRPr="00563823" w:rsidRDefault="003C4022" w:rsidP="00563823">
      <w:pPr>
        <w:pStyle w:val="ListParagraph"/>
        <w:bidi/>
        <w:spacing w:after="0" w:line="276" w:lineRule="auto"/>
        <w:ind w:left="0"/>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3-</w:t>
      </w:r>
      <w:r w:rsidRPr="00036565">
        <w:rPr>
          <w:rFonts w:ascii="Traditional Arabic" w:hAnsi="Traditional Arabic" w:cs="Traditional Arabic"/>
          <w:b/>
          <w:bCs/>
          <w:sz w:val="32"/>
          <w:szCs w:val="32"/>
          <w:rtl/>
        </w:rPr>
        <w:t>مستوى الحراك الاجتماعي:</w:t>
      </w:r>
      <w:r w:rsidR="00563823">
        <w:rPr>
          <w:rFonts w:ascii="Traditional Arabic" w:hAnsi="Traditional Arabic" w:cs="Traditional Arabic" w:hint="cs"/>
          <w:b/>
          <w:bCs/>
          <w:sz w:val="32"/>
          <w:szCs w:val="32"/>
          <w:rtl/>
        </w:rPr>
        <w:t xml:space="preserve"> </w:t>
      </w:r>
      <w:r w:rsidRPr="00036565">
        <w:rPr>
          <w:rFonts w:ascii="Traditional Arabic" w:hAnsi="Traditional Arabic" w:cs="Traditional Arabic"/>
          <w:sz w:val="32"/>
          <w:szCs w:val="32"/>
          <w:rtl/>
        </w:rPr>
        <w:t>لقد تم التنقل على مستوى الفرد والأسرة والجماعة. لقد قام شارما</w:t>
      </w:r>
      <w:r w:rsidRPr="00036565">
        <w:rPr>
          <w:rFonts w:ascii="Traditional Arabic" w:hAnsi="Traditional Arabic" w:cs="Traditional Arabic"/>
          <w:sz w:val="32"/>
          <w:szCs w:val="32"/>
        </w:rPr>
        <w:t xml:space="preserve"> K.L. Sharma</w:t>
      </w:r>
      <w:r w:rsidRPr="00036565">
        <w:rPr>
          <w:rFonts w:ascii="Traditional Arabic" w:hAnsi="Traditional Arabic" w:cs="Traditional Arabic"/>
          <w:sz w:val="32"/>
          <w:szCs w:val="32"/>
          <w:rtl/>
        </w:rPr>
        <w:t xml:space="preserve"> بتحليل دقيق لهذه المستويات من الحركة.</w:t>
      </w:r>
    </w:p>
    <w:p w14:paraId="74AD66D3" w14:textId="28B18196" w:rsidR="003C4022" w:rsidRPr="00036565" w:rsidRDefault="003C4022" w:rsidP="003C4022">
      <w:pPr>
        <w:pStyle w:val="ListParagraph"/>
        <w:bidi/>
        <w:spacing w:after="0" w:line="276" w:lineRule="auto"/>
        <w:ind w:left="0"/>
        <w:jc w:val="both"/>
        <w:rPr>
          <w:rFonts w:ascii="Traditional Arabic" w:hAnsi="Traditional Arabic" w:cs="Traditional Arabic"/>
          <w:sz w:val="32"/>
          <w:szCs w:val="32"/>
        </w:rPr>
      </w:pPr>
      <w:r>
        <w:rPr>
          <w:rFonts w:ascii="Traditional Arabic" w:hAnsi="Traditional Arabic" w:cs="Traditional Arabic" w:hint="cs"/>
          <w:sz w:val="32"/>
          <w:szCs w:val="32"/>
          <w:rtl/>
        </w:rPr>
        <w:t>*</w:t>
      </w:r>
      <w:r w:rsidRPr="00036565">
        <w:rPr>
          <w:rFonts w:ascii="Traditional Arabic" w:hAnsi="Traditional Arabic" w:cs="Traditional Arabic"/>
          <w:b/>
          <w:bCs/>
          <w:sz w:val="32"/>
          <w:szCs w:val="32"/>
          <w:rtl/>
        </w:rPr>
        <w:t>حراك الفرد داخل الأسرة</w:t>
      </w:r>
      <w:r w:rsidRPr="00036565">
        <w:rPr>
          <w:rFonts w:ascii="Traditional Arabic" w:hAnsi="Traditional Arabic" w:cs="Traditional Arabic"/>
          <w:sz w:val="32"/>
          <w:szCs w:val="32"/>
          <w:rtl/>
        </w:rPr>
        <w:t>: بعض الأفراد، على الرغم من أنهم ينتمون إلى طبقة منخفضة، قد يتمتعون بمكانة ومكانة أفضل مقارنة بغيرهم</w:t>
      </w:r>
      <w:r w:rsidRPr="00036565">
        <w:rPr>
          <w:rFonts w:ascii="Traditional Arabic" w:hAnsi="Traditional Arabic" w:cs="Traditional Arabic"/>
          <w:sz w:val="32"/>
          <w:szCs w:val="32"/>
          <w:rtl/>
          <w:lang w:bidi="ar-EG"/>
        </w:rPr>
        <w:t xml:space="preserve"> من أفراد أسرتهم</w:t>
      </w:r>
      <w:r w:rsidRPr="00036565">
        <w:rPr>
          <w:rFonts w:ascii="Traditional Arabic" w:hAnsi="Traditional Arabic" w:cs="Traditional Arabic"/>
          <w:sz w:val="32"/>
          <w:szCs w:val="32"/>
          <w:rtl/>
        </w:rPr>
        <w:t>. وقد يكون ذلك بسبب السمات الشخصية للفرد مثل النزاهة والصدق والحصول على التعليم وغيرها من الإنجازات. وبالمثل فإن الشخص الأعلى قد يفقد منصبه بسبب الأفعال السيئة والعادات الكسولة. وهذا قد يؤدي إلى الحركة الهبوطية للفرد.</w:t>
      </w:r>
    </w:p>
    <w:p w14:paraId="51B7DCFF" w14:textId="557EBC4B" w:rsidR="003C4022" w:rsidRPr="00036565" w:rsidRDefault="003C4022" w:rsidP="003C4022">
      <w:pPr>
        <w:pStyle w:val="ListParagraph"/>
        <w:bidi/>
        <w:spacing w:after="0" w:line="276" w:lineRule="auto"/>
        <w:ind w:left="0"/>
        <w:jc w:val="both"/>
        <w:rPr>
          <w:rFonts w:ascii="Traditional Arabic" w:hAnsi="Traditional Arabic" w:cs="Traditional Arabic"/>
          <w:sz w:val="32"/>
          <w:szCs w:val="32"/>
        </w:rPr>
      </w:pPr>
      <w:r>
        <w:rPr>
          <w:rFonts w:ascii="Traditional Arabic" w:hAnsi="Traditional Arabic" w:cs="Traditional Arabic" w:hint="cs"/>
          <w:sz w:val="32"/>
          <w:szCs w:val="32"/>
          <w:rtl/>
        </w:rPr>
        <w:t>*</w:t>
      </w:r>
      <w:r w:rsidRPr="00036565">
        <w:rPr>
          <w:rFonts w:ascii="Traditional Arabic" w:hAnsi="Traditional Arabic" w:cs="Traditional Arabic"/>
          <w:b/>
          <w:bCs/>
          <w:sz w:val="32"/>
          <w:szCs w:val="32"/>
          <w:rtl/>
        </w:rPr>
        <w:t>حراك أقلية من الأسر داخل الطبقة</w:t>
      </w:r>
      <w:r w:rsidRPr="00036565">
        <w:rPr>
          <w:rFonts w:ascii="Traditional Arabic" w:hAnsi="Traditional Arabic" w:cs="Traditional Arabic"/>
          <w:sz w:val="32"/>
          <w:szCs w:val="32"/>
          <w:rtl/>
        </w:rPr>
        <w:t>: يرتبط هذا النوع من التنقل بالجوانب الاجتماعية والاقتصادية والسياسية للعائلات. يمكن أن يكون التحسن في الوضع نتيجة للحصول على الأرض والتعليم، وهو ما يتم التأكيد عليه أيضًا من خلال محاكاة ممارسات الطبقة العليا فيما يتعلق باللباس،</w:t>
      </w:r>
      <w:r>
        <w:rPr>
          <w:rFonts w:ascii="Traditional Arabic" w:hAnsi="Traditional Arabic" w:cs="Traditional Arabic"/>
          <w:sz w:val="32"/>
          <w:szCs w:val="32"/>
        </w:rPr>
        <w:t xml:space="preserve"> </w:t>
      </w:r>
      <w:r w:rsidRPr="00036565">
        <w:rPr>
          <w:rFonts w:ascii="Traditional Arabic" w:hAnsi="Traditional Arabic" w:cs="Traditional Arabic"/>
          <w:sz w:val="32"/>
          <w:szCs w:val="32"/>
          <w:rtl/>
        </w:rPr>
        <w:t>نمط الحياة والطقوس. إن التنقل من هذا النوع لا يعد تعاونًا بطبيعته ويمكن اعتباره "تنقلًا أفقيًا" بدلاً من "تنقلًا رأسيًا" والذي يسد الفجوة بين الفروق بين الحالات</w:t>
      </w:r>
      <w:r w:rsidRPr="00036565">
        <w:rPr>
          <w:rFonts w:ascii="Traditional Arabic" w:hAnsi="Traditional Arabic" w:cs="Traditional Arabic"/>
          <w:sz w:val="32"/>
          <w:szCs w:val="32"/>
        </w:rPr>
        <w:t>.</w:t>
      </w:r>
    </w:p>
    <w:p w14:paraId="15A5FA9B" w14:textId="16BC0012" w:rsidR="003C4022" w:rsidRPr="00036565" w:rsidRDefault="003C4022" w:rsidP="003C4022">
      <w:pPr>
        <w:pStyle w:val="ListParagraph"/>
        <w:bidi/>
        <w:spacing w:after="0" w:line="276" w:lineRule="auto"/>
        <w:ind w:left="0"/>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036565">
        <w:rPr>
          <w:rFonts w:ascii="Traditional Arabic" w:hAnsi="Traditional Arabic" w:cs="Traditional Arabic"/>
          <w:b/>
          <w:bCs/>
          <w:sz w:val="32"/>
          <w:szCs w:val="32"/>
          <w:rtl/>
        </w:rPr>
        <w:t>حراك غالبية الأسرة أو المجموعة</w:t>
      </w:r>
      <w:r w:rsidRPr="00036565">
        <w:rPr>
          <w:rFonts w:ascii="Traditional Arabic" w:hAnsi="Traditional Arabic" w:cs="Traditional Arabic"/>
          <w:sz w:val="32"/>
          <w:szCs w:val="32"/>
          <w:rtl/>
        </w:rPr>
        <w:t>: هذا النوع من التنقل ذو طبيعة "مؤسسية". إنها تنطوي على حالة جماعية في المكانة والشرف والمكانة لذلك تميزت بالتغيرات في الممارسات الاجتماعية والثقافية فيما يتعلق بالنقاء والتلوث. تعمل بعض الطوائف على تحسين أوضاعها من خلال التخلص من الممارسات التي تعتبر غير نقية ومهينة.</w:t>
      </w:r>
      <w:r w:rsidRPr="00036565">
        <w:rPr>
          <w:rStyle w:val="FootnoteReference"/>
          <w:rFonts w:ascii="Traditional Arabic" w:hAnsi="Traditional Arabic" w:cs="Traditional Arabic"/>
          <w:sz w:val="32"/>
          <w:szCs w:val="32"/>
          <w:rtl/>
        </w:rPr>
        <w:footnoteReference w:id="8"/>
      </w:r>
    </w:p>
    <w:p w14:paraId="5CB38365" w14:textId="3A80DAAA" w:rsidR="003C4022" w:rsidRPr="00563823" w:rsidRDefault="003C4022" w:rsidP="00563823">
      <w:pPr>
        <w:bidi/>
        <w:spacing w:after="0" w:line="276" w:lineRule="auto"/>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4-</w:t>
      </w:r>
      <w:r w:rsidRPr="00036565">
        <w:rPr>
          <w:rFonts w:ascii="Traditional Arabic" w:hAnsi="Traditional Arabic" w:cs="Traditional Arabic"/>
          <w:b/>
          <w:bCs/>
          <w:sz w:val="32"/>
          <w:szCs w:val="32"/>
          <w:rtl/>
        </w:rPr>
        <w:t>السنسكريتية والتغريب:</w:t>
      </w:r>
      <w:r w:rsidR="00563823">
        <w:rPr>
          <w:rFonts w:ascii="Traditional Arabic" w:hAnsi="Traditional Arabic" w:cs="Traditional Arabic" w:hint="cs"/>
          <w:b/>
          <w:bCs/>
          <w:sz w:val="32"/>
          <w:szCs w:val="32"/>
          <w:rtl/>
        </w:rPr>
        <w:t xml:space="preserve"> </w:t>
      </w:r>
      <w:r w:rsidRPr="00036565">
        <w:rPr>
          <w:rFonts w:ascii="Traditional Arabic" w:hAnsi="Traditional Arabic" w:cs="Traditional Arabic"/>
          <w:sz w:val="32"/>
          <w:szCs w:val="32"/>
          <w:rtl/>
        </w:rPr>
        <w:t>هناك العديد من الميزات وعمليات التنقل. وننتقل الآن إلى هذه:-</w:t>
      </w:r>
    </w:p>
    <w:p w14:paraId="6DC4A4E9" w14:textId="67DA4A49" w:rsidR="003C4022" w:rsidRPr="00036565" w:rsidRDefault="003C4022" w:rsidP="003C4022">
      <w:pPr>
        <w:bidi/>
        <w:spacing w:after="0" w:line="276" w:lineRule="auto"/>
        <w:jc w:val="both"/>
        <w:rPr>
          <w:rFonts w:ascii="Traditional Arabic" w:hAnsi="Traditional Arabic" w:cs="Traditional Arabic"/>
          <w:b/>
          <w:bCs/>
          <w:sz w:val="32"/>
          <w:szCs w:val="32"/>
        </w:rPr>
      </w:pPr>
      <w:r>
        <w:rPr>
          <w:rFonts w:ascii="Traditional Arabic" w:hAnsi="Traditional Arabic" w:cs="Traditional Arabic" w:hint="cs"/>
          <w:sz w:val="32"/>
          <w:szCs w:val="32"/>
          <w:rtl/>
        </w:rPr>
        <w:t>*</w:t>
      </w:r>
      <w:r w:rsidRPr="00036565">
        <w:rPr>
          <w:rFonts w:ascii="Traditional Arabic" w:hAnsi="Traditional Arabic" w:cs="Traditional Arabic"/>
          <w:b/>
          <w:bCs/>
          <w:sz w:val="32"/>
          <w:szCs w:val="32"/>
          <w:rtl/>
        </w:rPr>
        <w:t>السنسكريتية</w:t>
      </w:r>
      <w:r w:rsidRPr="00036565">
        <w:rPr>
          <w:rFonts w:ascii="Traditional Arabic" w:hAnsi="Traditional Arabic" w:cs="Traditional Arabic"/>
          <w:b/>
          <w:bCs/>
          <w:sz w:val="32"/>
          <w:szCs w:val="32"/>
        </w:rPr>
        <w:t xml:space="preserve"> Sanskritization</w:t>
      </w:r>
      <w:r w:rsidRPr="00036565">
        <w:rPr>
          <w:rFonts w:ascii="Traditional Arabic" w:hAnsi="Traditional Arabic" w:cs="Traditional Arabic"/>
          <w:b/>
          <w:bCs/>
          <w:sz w:val="32"/>
          <w:szCs w:val="32"/>
          <w:rtl/>
        </w:rPr>
        <w:t xml:space="preserve"> </w:t>
      </w:r>
    </w:p>
    <w:p w14:paraId="2BF77C13" w14:textId="77777777" w:rsidR="003C4022" w:rsidRPr="00036565" w:rsidRDefault="003C4022" w:rsidP="003C4022">
      <w:pPr>
        <w:bidi/>
        <w:spacing w:after="0" w:line="276" w:lineRule="auto"/>
        <w:jc w:val="both"/>
        <w:rPr>
          <w:rFonts w:ascii="Traditional Arabic" w:hAnsi="Traditional Arabic" w:cs="Traditional Arabic"/>
          <w:sz w:val="32"/>
          <w:szCs w:val="32"/>
        </w:rPr>
      </w:pPr>
      <w:r w:rsidRPr="00036565">
        <w:rPr>
          <w:rFonts w:ascii="Traditional Arabic" w:hAnsi="Traditional Arabic" w:cs="Traditional Arabic"/>
          <w:sz w:val="32"/>
          <w:szCs w:val="32"/>
          <w:rtl/>
        </w:rPr>
        <w:lastRenderedPageBreak/>
        <w:t>صاغ سرينيفاس</w:t>
      </w:r>
      <w:r w:rsidRPr="00036565">
        <w:rPr>
          <w:rFonts w:ascii="Traditional Arabic" w:hAnsi="Traditional Arabic" w:cs="Traditional Arabic"/>
          <w:sz w:val="32"/>
          <w:szCs w:val="32"/>
        </w:rPr>
        <w:t xml:space="preserve"> M.N. Srinivas</w:t>
      </w:r>
      <w:r w:rsidRPr="00036565">
        <w:rPr>
          <w:rFonts w:ascii="Traditional Arabic" w:hAnsi="Traditional Arabic" w:cs="Traditional Arabic"/>
          <w:sz w:val="32"/>
          <w:szCs w:val="32"/>
          <w:rtl/>
        </w:rPr>
        <w:t xml:space="preserve">  وساهم بشكل كبير في مفهوم السنسكريتية كعملية للتنقل في الطبقة. ويشير إلى اللغة السنسكريتية باعتبارها "عملية يتم من خلالها الآن تغير الطبقة الهندوسية أو القبلية أو </w:t>
      </w:r>
      <w:r>
        <w:rPr>
          <w:rFonts w:ascii="Traditional Arabic" w:hAnsi="Traditional Arabic" w:cs="Traditional Arabic"/>
          <w:sz w:val="32"/>
          <w:szCs w:val="32"/>
          <w:rtl/>
        </w:rPr>
        <w:t>الفئات</w:t>
      </w:r>
      <w:r w:rsidRPr="00036565">
        <w:rPr>
          <w:rFonts w:ascii="Traditional Arabic" w:hAnsi="Traditional Arabic" w:cs="Traditional Arabic"/>
          <w:sz w:val="32"/>
          <w:szCs w:val="32"/>
          <w:rtl/>
        </w:rPr>
        <w:t xml:space="preserve"> الأخرى عاداتها وأيديولوجيتها الطقسية وأسلوب حياتها اتجاه "الطوائف" العالية والمولودة مرتين في كثير من الأحيان كانت سائدة عبر التاريخ، واتخذت أشكالاً مختلفة. لقد تم استخدامه كآلية لسد الفجوة بين الرتبة العلمانية والطقوسية. كلما حققت طبقة ما سلطة علمانية، حاولت إضفاء الشرعية على وضعها من خلال اكتساب الرموز التقليدية للطبقة العليا من خلال تبني عاداتها وطقوسها. تم اعتبار تسجيل التعداد مصدرًا ممتازًا للمطالبة بمكانة أعلى. تمت ترقية هذا الادعاء وفقًا لسرينيفاس في العمليات اللاحقة. على سبيل المثال، إذا كانت الطبقة التي تطالب بها فايشيا في أحد التعدادات السكانية، فإنها في العمليات اللاحقة ستطالب بالبراهمين أو الكشاتريا</w:t>
      </w:r>
      <w:r w:rsidRPr="00036565">
        <w:rPr>
          <w:rFonts w:ascii="Traditional Arabic" w:hAnsi="Traditional Arabic" w:cs="Traditional Arabic"/>
          <w:sz w:val="32"/>
          <w:szCs w:val="32"/>
        </w:rPr>
        <w:t xml:space="preserve"> Kshatriya</w:t>
      </w:r>
      <w:r w:rsidRPr="00036565">
        <w:rPr>
          <w:rFonts w:ascii="Traditional Arabic" w:hAnsi="Traditional Arabic" w:cs="Traditional Arabic"/>
          <w:sz w:val="32"/>
          <w:szCs w:val="32"/>
          <w:rtl/>
        </w:rPr>
        <w:t>. أعقبت هذه المحاولة محاولات قامت بها الطبقات لمحاكاة أسلوب حياة الطبقة المعنية التي تطالب بها. سمات الحالة لفئة الحكام المحاربين ذات التصنيف العالي، مثل كشاتريا والبراهمة، كانت بمثابة مجموعات نموذجية أو أكثر متنقلة.</w:t>
      </w:r>
    </w:p>
    <w:p w14:paraId="287C7A1F" w14:textId="18F51A47" w:rsidR="003C4022" w:rsidRPr="00563823" w:rsidRDefault="003C4022" w:rsidP="00563823">
      <w:pPr>
        <w:bidi/>
        <w:spacing w:after="0" w:line="276" w:lineRule="auto"/>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w:t>
      </w:r>
      <w:r w:rsidRPr="00036565">
        <w:rPr>
          <w:rFonts w:ascii="Traditional Arabic" w:hAnsi="Traditional Arabic" w:cs="Traditional Arabic"/>
          <w:b/>
          <w:bCs/>
          <w:sz w:val="32"/>
          <w:szCs w:val="32"/>
          <w:rtl/>
        </w:rPr>
        <w:t xml:space="preserve">التغريب </w:t>
      </w:r>
      <w:r w:rsidRPr="00036565">
        <w:rPr>
          <w:rFonts w:ascii="Traditional Arabic" w:hAnsi="Traditional Arabic" w:cs="Traditional Arabic"/>
          <w:b/>
          <w:bCs/>
          <w:sz w:val="32"/>
          <w:szCs w:val="32"/>
        </w:rPr>
        <w:t>Westernization</w:t>
      </w:r>
      <w:r w:rsidR="00563823">
        <w:rPr>
          <w:rFonts w:ascii="Traditional Arabic" w:hAnsi="Traditional Arabic" w:cs="Traditional Arabic" w:hint="cs"/>
          <w:b/>
          <w:bCs/>
          <w:sz w:val="32"/>
          <w:szCs w:val="32"/>
          <w:rtl/>
        </w:rPr>
        <w:t xml:space="preserve">: </w:t>
      </w:r>
      <w:r w:rsidRPr="00036565">
        <w:rPr>
          <w:rFonts w:ascii="Traditional Arabic" w:hAnsi="Traditional Arabic" w:cs="Traditional Arabic"/>
          <w:sz w:val="32"/>
          <w:szCs w:val="32"/>
          <w:rtl/>
        </w:rPr>
        <w:t>هناك عدد كبير من العوامل المترابطة مسؤولة عن ذلك. لقد أدى التغريب إلى تسريع عملية التنقل بأكثر من طريقة. من ناحية، كانت آلية مرغوبة للحفاظ على الحراك، ومن ناحية أخرى، ولدت الحراك أيضًا لأن "المتغربين" أصبحوا نموذجًا لمحاكاة الآخرين.</w:t>
      </w:r>
      <w:r w:rsidRPr="00036565">
        <w:rPr>
          <w:rStyle w:val="FootnoteReference"/>
          <w:rFonts w:ascii="Traditional Arabic" w:hAnsi="Traditional Arabic" w:cs="Traditional Arabic"/>
          <w:sz w:val="32"/>
          <w:szCs w:val="32"/>
          <w:rtl/>
        </w:rPr>
        <w:footnoteReference w:id="9"/>
      </w:r>
    </w:p>
    <w:p w14:paraId="399BC319" w14:textId="5B925413" w:rsidR="003C4022" w:rsidRPr="00563823" w:rsidRDefault="003C4022" w:rsidP="00563823">
      <w:pPr>
        <w:pStyle w:val="ListParagraph"/>
        <w:bidi/>
        <w:spacing w:after="0" w:line="276" w:lineRule="auto"/>
        <w:ind w:left="0"/>
        <w:jc w:val="both"/>
        <w:rPr>
          <w:rFonts w:ascii="Traditional Arabic" w:hAnsi="Traditional Arabic" w:cs="Traditional Arabic"/>
          <w:b/>
          <w:bCs/>
          <w:sz w:val="32"/>
          <w:szCs w:val="32"/>
        </w:rPr>
      </w:pPr>
      <w:r>
        <w:rPr>
          <w:rFonts w:ascii="Traditional Arabic" w:hAnsi="Traditional Arabic" w:cs="Traditional Arabic" w:hint="cs"/>
          <w:b/>
          <w:bCs/>
          <w:sz w:val="32"/>
          <w:szCs w:val="32"/>
          <w:rtl/>
          <w:lang w:bidi="ar-EG"/>
        </w:rPr>
        <w:t>5-</w:t>
      </w:r>
      <w:r w:rsidRPr="00036565">
        <w:rPr>
          <w:rFonts w:ascii="Traditional Arabic" w:hAnsi="Traditional Arabic" w:cs="Traditional Arabic"/>
          <w:b/>
          <w:bCs/>
          <w:sz w:val="32"/>
          <w:szCs w:val="32"/>
          <w:rtl/>
        </w:rPr>
        <w:t xml:space="preserve"> التصنيع والحراك:</w:t>
      </w:r>
      <w:r w:rsidR="00563823">
        <w:rPr>
          <w:rFonts w:ascii="Traditional Arabic" w:hAnsi="Traditional Arabic" w:cs="Traditional Arabic" w:hint="cs"/>
          <w:b/>
          <w:bCs/>
          <w:sz w:val="32"/>
          <w:szCs w:val="32"/>
          <w:rtl/>
        </w:rPr>
        <w:t xml:space="preserve"> </w:t>
      </w:r>
      <w:r w:rsidRPr="00036565">
        <w:rPr>
          <w:rFonts w:ascii="Traditional Arabic" w:hAnsi="Traditional Arabic" w:cs="Traditional Arabic"/>
          <w:sz w:val="32"/>
          <w:szCs w:val="32"/>
          <w:rtl/>
        </w:rPr>
        <w:t>في تحليل عمليات وأنماط التنقل، لا يُستخدم مصطلح الطبقة بشكل صارم بالمعنى الذي استخدمه ماركس أو فيبر. بل يُنظر إلى الطبقة من حيث التجمعات المهنية لأن المهنة هي جانب من جوانب جدارة الفرد وتعليمه ومؤهلاته وتحدد مكانة الفرد ومكانته وراتبه الذي يؤثر بدوره على نمط أنماط الاستهلاك وفرص الحياة.</w:t>
      </w:r>
    </w:p>
    <w:p w14:paraId="27987B89" w14:textId="77777777" w:rsidR="003C4022" w:rsidRPr="00036565" w:rsidRDefault="003C4022" w:rsidP="003C4022">
      <w:pPr>
        <w:bidi/>
        <w:spacing w:after="0" w:line="276" w:lineRule="auto"/>
        <w:jc w:val="both"/>
        <w:rPr>
          <w:rFonts w:ascii="Traditional Arabic" w:hAnsi="Traditional Arabic" w:cs="Traditional Arabic"/>
          <w:sz w:val="32"/>
          <w:szCs w:val="32"/>
        </w:rPr>
      </w:pPr>
      <w:r w:rsidRPr="00036565">
        <w:rPr>
          <w:rFonts w:ascii="Traditional Arabic" w:hAnsi="Traditional Arabic" w:cs="Traditional Arabic"/>
          <w:sz w:val="32"/>
          <w:szCs w:val="32"/>
          <w:rtl/>
        </w:rPr>
        <w:t>لقد أحدث التصنيع الكثير من التغييرات ليس فقط في المجال الاقتصادي ولكن في جميع مجالات المجتمع. يشار إلى المجتمعات الصناعية بالمجتمعات "المفتوحة" حيث تتوفر فرص التنقل بكثرة. تُعزى معدلات التنقل المرتفعة في المجتمعات الصناعية إلى التغير الاقتصادي السريع الذي يستلزم وجود وظائف مهنية الحراك الجغرافي والاجتماعي لتحقيق الاستخدام الأمثل والفعال للمواهب المتاحة.</w:t>
      </w:r>
    </w:p>
    <w:p w14:paraId="1FC80E5D" w14:textId="77777777" w:rsidR="003C4022" w:rsidRPr="00036565" w:rsidRDefault="003C4022" w:rsidP="003C4022">
      <w:pPr>
        <w:bidi/>
        <w:spacing w:after="0" w:line="276" w:lineRule="auto"/>
        <w:jc w:val="both"/>
        <w:rPr>
          <w:rFonts w:ascii="Traditional Arabic" w:hAnsi="Traditional Arabic" w:cs="Traditional Arabic"/>
          <w:sz w:val="32"/>
          <w:szCs w:val="32"/>
          <w:rtl/>
        </w:rPr>
      </w:pPr>
      <w:r w:rsidRPr="00036565">
        <w:rPr>
          <w:rFonts w:ascii="Traditional Arabic" w:hAnsi="Traditional Arabic" w:cs="Traditional Arabic"/>
          <w:sz w:val="32"/>
          <w:szCs w:val="32"/>
          <w:rtl/>
        </w:rPr>
        <w:lastRenderedPageBreak/>
        <w:t>ولهذا السبب يرى ليبست وزيلتربيرج أن الصناعة تخلق أنماطًا موحدة للتنقل. يركز دنكان وبلو على عدد من العوامل الناتجة عن التصنيع والتي لها تأثير على أنماط التنقل. وهم يرون أن التصنيع يرتبط بالعقلانية المتنامية التي تفسر المعايير العالمية لاختيار ورفع مستوى التقسيم المهني للعمل، وإضعاف روابط القرابة والجوار.</w:t>
      </w:r>
      <w:r w:rsidRPr="00036565">
        <w:rPr>
          <w:rStyle w:val="FootnoteReference"/>
          <w:rFonts w:ascii="Traditional Arabic" w:hAnsi="Traditional Arabic" w:cs="Traditional Arabic"/>
          <w:sz w:val="32"/>
          <w:szCs w:val="32"/>
          <w:rtl/>
        </w:rPr>
        <w:footnoteReference w:id="10"/>
      </w:r>
    </w:p>
    <w:p w14:paraId="58DBC639" w14:textId="77777777" w:rsidR="003C4022" w:rsidRPr="00036565" w:rsidRDefault="003C4022" w:rsidP="003C4022">
      <w:pPr>
        <w:bidi/>
        <w:spacing w:after="0" w:line="276" w:lineRule="auto"/>
        <w:jc w:val="both"/>
        <w:rPr>
          <w:rFonts w:ascii="Traditional Arabic" w:hAnsi="Traditional Arabic" w:cs="Traditional Arabic"/>
          <w:sz w:val="32"/>
          <w:szCs w:val="32"/>
        </w:rPr>
      </w:pPr>
      <w:r w:rsidRPr="00036565">
        <w:rPr>
          <w:rFonts w:ascii="Traditional Arabic" w:hAnsi="Traditional Arabic" w:cs="Traditional Arabic"/>
          <w:sz w:val="32"/>
          <w:szCs w:val="32"/>
          <w:rtl/>
        </w:rPr>
        <w:t>في قلب "النظرية الليبرالية" للصناعة يكمن الاعتقاد بأن الصناعة تعيد تشكيل المجتمع حتماً. تشير النظرية إلى أنه في المجتمعات الصناعية مقارنة بمجتمعات ما قبل الصناعة، يوجد عادة ما يلي:</w:t>
      </w:r>
    </w:p>
    <w:p w14:paraId="02505AA4" w14:textId="77777777" w:rsidR="003C4022" w:rsidRPr="00036565" w:rsidRDefault="003C4022" w:rsidP="003C4022">
      <w:pPr>
        <w:bidi/>
        <w:spacing w:after="0" w:line="276" w:lineRule="auto"/>
        <w:jc w:val="both"/>
        <w:rPr>
          <w:rFonts w:ascii="Traditional Arabic" w:hAnsi="Traditional Arabic" w:cs="Traditional Arabic"/>
          <w:sz w:val="32"/>
          <w:szCs w:val="32"/>
        </w:rPr>
      </w:pPr>
      <w:r w:rsidRPr="00036565">
        <w:rPr>
          <w:rFonts w:ascii="Traditional Arabic" w:hAnsi="Traditional Arabic" w:cs="Traditional Arabic"/>
          <w:sz w:val="32"/>
          <w:szCs w:val="32"/>
          <w:rtl/>
        </w:rPr>
        <w:t>1. معدل مطلق مرتفع ومرتفع في الغالب للحراك الاجتماعي، مما يعني أن معظم التحولات تتم من أوضاع أقل حظًا إلى أوضاع أكثر حظًا.</w:t>
      </w:r>
    </w:p>
    <w:p w14:paraId="5FB20890" w14:textId="77777777" w:rsidR="003C4022" w:rsidRPr="00036565" w:rsidRDefault="003C4022" w:rsidP="003C4022">
      <w:pPr>
        <w:bidi/>
        <w:spacing w:after="0" w:line="276" w:lineRule="auto"/>
        <w:jc w:val="both"/>
        <w:rPr>
          <w:rFonts w:ascii="Traditional Arabic" w:hAnsi="Traditional Arabic" w:cs="Traditional Arabic"/>
          <w:sz w:val="32"/>
          <w:szCs w:val="32"/>
        </w:rPr>
      </w:pPr>
      <w:r w:rsidRPr="00036565">
        <w:rPr>
          <w:rFonts w:ascii="Traditional Arabic" w:hAnsi="Traditional Arabic" w:cs="Traditional Arabic"/>
          <w:sz w:val="32"/>
          <w:szCs w:val="32"/>
          <w:rtl/>
        </w:rPr>
        <w:t>2. معدلات التنقل النسبية أكثر إنصافًا، مما يعني أن الأشخاص من خلفيات مختلفة لديهم فرص أكثر تكافؤًا لتغيير أوضاعهم الاجتماعية.</w:t>
      </w:r>
    </w:p>
    <w:p w14:paraId="4BFF64FD" w14:textId="77777777" w:rsidR="003C4022" w:rsidRPr="00036565" w:rsidRDefault="003C4022" w:rsidP="003C4022">
      <w:pPr>
        <w:bidi/>
        <w:spacing w:after="0" w:line="276" w:lineRule="auto"/>
        <w:jc w:val="both"/>
        <w:rPr>
          <w:rFonts w:ascii="Traditional Arabic" w:hAnsi="Traditional Arabic" w:cs="Traditional Arabic"/>
          <w:sz w:val="32"/>
          <w:szCs w:val="32"/>
        </w:rPr>
      </w:pPr>
      <w:r w:rsidRPr="00036565">
        <w:rPr>
          <w:rFonts w:ascii="Traditional Arabic" w:hAnsi="Traditional Arabic" w:cs="Traditional Arabic"/>
          <w:sz w:val="32"/>
          <w:szCs w:val="32"/>
          <w:rtl/>
        </w:rPr>
        <w:t>3. زيادة مع مرور الوقت في مستويات الحراك المطلق وتكافؤ معدلات الحراك النسبي.</w:t>
      </w:r>
    </w:p>
    <w:p w14:paraId="1FD2253D" w14:textId="77777777" w:rsidR="003C4022" w:rsidRPr="00036565" w:rsidRDefault="003C4022" w:rsidP="003C4022">
      <w:pPr>
        <w:bidi/>
        <w:spacing w:after="0" w:line="276" w:lineRule="auto"/>
        <w:jc w:val="both"/>
        <w:rPr>
          <w:rFonts w:ascii="Traditional Arabic" w:hAnsi="Traditional Arabic" w:cs="Traditional Arabic"/>
          <w:sz w:val="32"/>
          <w:szCs w:val="32"/>
        </w:rPr>
      </w:pPr>
      <w:r w:rsidRPr="00036565">
        <w:rPr>
          <w:rFonts w:ascii="Traditional Arabic" w:hAnsi="Traditional Arabic" w:cs="Traditional Arabic"/>
          <w:sz w:val="32"/>
          <w:szCs w:val="32"/>
          <w:rtl/>
        </w:rPr>
        <w:t>علماء الاجتماع مثل ب.م. بلو وأ.د. أيد دنكان في عام 1967 هذا السيناريو. والأساس المنطقي لذلك هو أن الطبيعة الديناميكية للمجتمعات الصناعية تتطلب إعادة هيكلة مستمرة لتقسيم العمل، وبالتالي تسهيل التنقل. وهذا، إلى جانب التحول في أساس تخصيص الوظائف من التعيين إلى الإنجاز، والتوسع في التعليم والتدريب، يعزز السرد الصناعي لتعزيز التنقل.</w:t>
      </w:r>
    </w:p>
    <w:p w14:paraId="5BEB5B24" w14:textId="0028E534" w:rsidR="003C4022" w:rsidRPr="00036565" w:rsidRDefault="003C4022" w:rsidP="003C4022">
      <w:pPr>
        <w:bidi/>
        <w:spacing w:after="0" w:line="276" w:lineRule="auto"/>
        <w:jc w:val="both"/>
        <w:rPr>
          <w:rFonts w:ascii="Traditional Arabic" w:hAnsi="Traditional Arabic" w:cs="Traditional Arabic"/>
          <w:sz w:val="32"/>
          <w:szCs w:val="32"/>
        </w:rPr>
      </w:pPr>
      <w:r w:rsidRPr="00036565">
        <w:rPr>
          <w:rFonts w:ascii="Traditional Arabic" w:hAnsi="Traditional Arabic" w:cs="Traditional Arabic"/>
          <w:sz w:val="32"/>
          <w:szCs w:val="32"/>
          <w:rtl/>
        </w:rPr>
        <w:t xml:space="preserve">وعلى الرغم من أن ليبست وزيتيربيرج </w:t>
      </w:r>
      <w:proofErr w:type="spellStart"/>
      <w:r w:rsidRPr="00036565">
        <w:rPr>
          <w:rFonts w:ascii="Traditional Arabic" w:hAnsi="Traditional Arabic" w:cs="Traditional Arabic"/>
          <w:sz w:val="32"/>
          <w:szCs w:val="32"/>
        </w:rPr>
        <w:t>Lipset</w:t>
      </w:r>
      <w:proofErr w:type="spellEnd"/>
      <w:r w:rsidRPr="00036565">
        <w:rPr>
          <w:rFonts w:ascii="Traditional Arabic" w:hAnsi="Traditional Arabic" w:cs="Traditional Arabic"/>
          <w:sz w:val="32"/>
          <w:szCs w:val="32"/>
          <w:rtl/>
        </w:rPr>
        <w:t xml:space="preserve"> و</w:t>
      </w:r>
      <w:r w:rsidRPr="00036565">
        <w:rPr>
          <w:rFonts w:ascii="Traditional Arabic" w:hAnsi="Traditional Arabic" w:cs="Traditional Arabic"/>
          <w:sz w:val="32"/>
          <w:szCs w:val="32"/>
        </w:rPr>
        <w:t>Zetterberg</w:t>
      </w:r>
      <w:r w:rsidRPr="00036565">
        <w:rPr>
          <w:rFonts w:ascii="Traditional Arabic" w:hAnsi="Traditional Arabic" w:cs="Traditional Arabic"/>
          <w:sz w:val="32"/>
          <w:szCs w:val="32"/>
          <w:rtl/>
        </w:rPr>
        <w:t xml:space="preserve"> غالبًا ما يرتبطان بالنظرية الليبرالية، إلا أنهما يقدمان في الواقع حجة دقيقة. وهم لا يؤكدون أن التنقل يتصاعد دائمًا مع التقدم الصناعي. وبدلا من ذلك، لاحظوا أنه بمجرد وصول مجتمع ما إلى مستوى </w:t>
      </w:r>
      <w:r w:rsidRPr="003C4022">
        <w:rPr>
          <w:rFonts w:ascii="Traditional Arabic" w:hAnsi="Traditional Arabic" w:cs="Traditional Arabic"/>
          <w:sz w:val="32"/>
          <w:szCs w:val="32"/>
          <w:rtl/>
        </w:rPr>
        <w:t>معين إلى الطبقات العليا</w:t>
      </w:r>
      <w:r>
        <w:rPr>
          <w:rFonts w:ascii="Traditional Arabic" w:hAnsi="Traditional Arabic" w:cs="Traditional Arabic" w:hint="cs"/>
          <w:sz w:val="32"/>
          <w:szCs w:val="32"/>
          <w:rtl/>
        </w:rPr>
        <w:t xml:space="preserve"> </w:t>
      </w:r>
      <w:r w:rsidRPr="003C4022">
        <w:rPr>
          <w:rFonts w:ascii="Traditional Arabic" w:hAnsi="Traditional Arabic" w:cs="Traditional Arabic"/>
          <w:sz w:val="32"/>
          <w:szCs w:val="32"/>
          <w:rtl/>
        </w:rPr>
        <w:t>بفضل التصنيع،</w:t>
      </w:r>
      <w:r w:rsidRPr="00036565">
        <w:rPr>
          <w:rFonts w:ascii="Traditional Arabic" w:hAnsi="Traditional Arabic" w:cs="Traditional Arabic"/>
          <w:sz w:val="32"/>
          <w:szCs w:val="32"/>
          <w:rtl/>
        </w:rPr>
        <w:t xml:space="preserve"> تصبح معدلات الحراك الاجتماعي مرتفعة نسبيا ولكنها لا ترتبط بالضرورة بوتيرة النمو الاقتصادي. وعلى النقيض من المنظور الخطي للانفتاح والتنقل، فإنهم يجادلون بأن التشابه في معدلات التنقل عبر المجتمعات الصناعية هو نتيجة للتغيرات الهيكلية وليس الاتجاه العالمي نحو المزيد من الانفتاح الاجتماعي.</w:t>
      </w:r>
    </w:p>
    <w:p w14:paraId="6F1466F1" w14:textId="77777777" w:rsidR="003C4022" w:rsidRPr="00036565" w:rsidRDefault="003C4022" w:rsidP="003C4022">
      <w:pPr>
        <w:bidi/>
        <w:spacing w:after="0" w:line="276" w:lineRule="auto"/>
        <w:jc w:val="both"/>
        <w:rPr>
          <w:rFonts w:ascii="Traditional Arabic" w:hAnsi="Traditional Arabic" w:cs="Traditional Arabic"/>
          <w:sz w:val="32"/>
          <w:szCs w:val="32"/>
        </w:rPr>
      </w:pPr>
      <w:r w:rsidRPr="00036565">
        <w:rPr>
          <w:rFonts w:ascii="Traditional Arabic" w:hAnsi="Traditional Arabic" w:cs="Traditional Arabic"/>
          <w:sz w:val="32"/>
          <w:szCs w:val="32"/>
          <w:rtl/>
        </w:rPr>
        <w:t xml:space="preserve">ومن أجل تطوير المحادثة، استخدم باحثون مثل فيثيمان، وجونز، وهاوزر أدوات أكثر تطورًا لإعادة تقييم اقتراح ليبست وزيتيربيرج. لقد ميزوا بين المعدلات المطلقة والنسبية للحراك الاجتماعي، وأكدوا الفرضية الأصلية فقط </w:t>
      </w:r>
      <w:r w:rsidRPr="00036565">
        <w:rPr>
          <w:rFonts w:ascii="Traditional Arabic" w:hAnsi="Traditional Arabic" w:cs="Traditional Arabic"/>
          <w:sz w:val="32"/>
          <w:szCs w:val="32"/>
          <w:rtl/>
        </w:rPr>
        <w:lastRenderedPageBreak/>
        <w:t>عند النظر في المعدلات النسبية. وافترضوا أن المعدلات المطلقة، التي تتأثر بعوامل اقتصادية وتكنولوجية متنوعة، لا تظهر تماثلا عبر الحدود الوطنية. وبالتالي، عندما يُنظر إلى التنقل على أنه صافي من التأثيرات الهيكلية، فإن المعدلات النسبية قد تظهر بالفعل تشابهًا دوليًا أكبر.</w:t>
      </w:r>
    </w:p>
    <w:p w14:paraId="08DB209A" w14:textId="3B03F86B" w:rsidR="003C4022" w:rsidRPr="00036565" w:rsidRDefault="00563823" w:rsidP="003C4022">
      <w:pPr>
        <w:bidi/>
        <w:spacing w:after="0" w:line="276"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3C4022" w:rsidRPr="00036565">
        <w:rPr>
          <w:rFonts w:ascii="Traditional Arabic" w:hAnsi="Traditional Arabic" w:cs="Traditional Arabic"/>
          <w:sz w:val="32"/>
          <w:szCs w:val="32"/>
          <w:rtl/>
        </w:rPr>
        <w:t>وفي دراسة منفصلة، قام روبرت إريكسون وجون جولدثورب بدراسة اتجاهات الحراك الاجتماعي في تسع دول أوروبية. تناقضت النتائج التي توصلوا إليها مع النظرية الليبرالية للصناعة. لم يتم العثور على اتجاهات متسقة نحو زيادة الحركة الشاملة أو السيولة الاجتماعية. يتحدى بحثهم فكرة أن معدلات التنقل، المطلقة أو النسبية، تتبع اتجاهًا ثابتًا أو تتقارب دوليًا.</w:t>
      </w:r>
      <w:r w:rsidR="003C4022" w:rsidRPr="00036565">
        <w:rPr>
          <w:rStyle w:val="FootnoteReference"/>
          <w:rFonts w:ascii="Traditional Arabic" w:hAnsi="Traditional Arabic" w:cs="Traditional Arabic"/>
          <w:sz w:val="32"/>
          <w:szCs w:val="32"/>
          <w:rtl/>
        </w:rPr>
        <w:footnoteReference w:id="11"/>
      </w:r>
    </w:p>
    <w:p w14:paraId="269175AB" w14:textId="225DE1D6" w:rsidR="003C4022" w:rsidRDefault="00563823" w:rsidP="003C4022">
      <w:pPr>
        <w:jc w:val="both"/>
      </w:pPr>
      <w:r>
        <w:rPr>
          <w:rFonts w:hint="cs"/>
          <w:rtl/>
        </w:rPr>
        <w:t xml:space="preserve"> </w:t>
      </w:r>
    </w:p>
    <w:sectPr w:rsidR="003C4022">
      <w:headerReference w:type="default" r:id="rId8"/>
      <w:footnotePr>
        <w:numRestart w:val="eachPage"/>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88751" w14:textId="77777777" w:rsidR="00AA230A" w:rsidRDefault="00AA230A" w:rsidP="003C4022">
      <w:pPr>
        <w:spacing w:after="0" w:line="240" w:lineRule="auto"/>
      </w:pPr>
      <w:r>
        <w:separator/>
      </w:r>
    </w:p>
  </w:endnote>
  <w:endnote w:type="continuationSeparator" w:id="0">
    <w:p w14:paraId="276E2EB8" w14:textId="77777777" w:rsidR="00AA230A" w:rsidRDefault="00AA230A" w:rsidP="003C4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23504" w14:textId="77777777" w:rsidR="00AA230A" w:rsidRDefault="00AA230A" w:rsidP="003C4022">
      <w:pPr>
        <w:spacing w:after="0" w:line="240" w:lineRule="auto"/>
      </w:pPr>
      <w:r>
        <w:separator/>
      </w:r>
    </w:p>
  </w:footnote>
  <w:footnote w:type="continuationSeparator" w:id="0">
    <w:p w14:paraId="516BEB37" w14:textId="77777777" w:rsidR="00AA230A" w:rsidRDefault="00AA230A" w:rsidP="003C4022">
      <w:pPr>
        <w:spacing w:after="0" w:line="240" w:lineRule="auto"/>
      </w:pPr>
      <w:r>
        <w:continuationSeparator/>
      </w:r>
    </w:p>
  </w:footnote>
  <w:footnote w:id="1">
    <w:p w14:paraId="597E6F5D" w14:textId="397B56DF" w:rsidR="003C4022" w:rsidRPr="00563823" w:rsidRDefault="003C4022" w:rsidP="003C4022">
      <w:pPr>
        <w:pStyle w:val="FootnoteText"/>
        <w:rPr>
          <w:rFonts w:ascii="Traditional Arabic" w:hAnsi="Traditional Arabic" w:cs="Traditional Arabic"/>
          <w:i/>
          <w:iCs/>
          <w:color w:val="000000" w:themeColor="text1"/>
          <w:sz w:val="22"/>
          <w:szCs w:val="22"/>
          <w:lang w:bidi="ar-DZ"/>
        </w:rPr>
      </w:pPr>
      <w:r w:rsidRPr="003C4022">
        <w:rPr>
          <w:rStyle w:val="FootnoteReference"/>
          <w:rFonts w:ascii="Traditional Arabic" w:hAnsi="Traditional Arabic" w:cs="Traditional Arabic"/>
          <w:color w:val="000000" w:themeColor="text1"/>
          <w:sz w:val="22"/>
          <w:szCs w:val="22"/>
        </w:rPr>
        <w:footnoteRef/>
      </w:r>
      <w:r w:rsidRPr="003C4022">
        <w:rPr>
          <w:rFonts w:ascii="Traditional Arabic" w:hAnsi="Traditional Arabic" w:cs="Traditional Arabic"/>
          <w:color w:val="000000" w:themeColor="text1"/>
          <w:sz w:val="22"/>
          <w:szCs w:val="22"/>
        </w:rPr>
        <w:t xml:space="preserve"> </w:t>
      </w:r>
      <w:proofErr w:type="spellStart"/>
      <w:r w:rsidRPr="00563823">
        <w:rPr>
          <w:rFonts w:ascii="Traditional Arabic" w:hAnsi="Traditional Arabic" w:cs="Traditional Arabic"/>
          <w:i/>
          <w:iCs/>
          <w:color w:val="000000" w:themeColor="text1"/>
          <w:sz w:val="22"/>
          <w:szCs w:val="22"/>
        </w:rPr>
        <w:t>Lenskip</w:t>
      </w:r>
      <w:proofErr w:type="spellEnd"/>
      <w:r w:rsidRPr="00563823">
        <w:rPr>
          <w:rFonts w:ascii="Traditional Arabic" w:hAnsi="Traditional Arabic" w:cs="Traditional Arabic"/>
          <w:i/>
          <w:iCs/>
          <w:color w:val="000000" w:themeColor="text1"/>
          <w:sz w:val="22"/>
          <w:szCs w:val="22"/>
          <w:rtl/>
          <w:lang w:bidi="ar-DZ"/>
        </w:rPr>
        <w:t>:</w:t>
      </w:r>
      <w:r w:rsidRPr="00563823">
        <w:rPr>
          <w:rFonts w:ascii="Traditional Arabic" w:hAnsi="Traditional Arabic" w:cs="Traditional Arabic"/>
          <w:i/>
          <w:iCs/>
          <w:color w:val="000000" w:themeColor="text1"/>
          <w:sz w:val="22"/>
          <w:szCs w:val="22"/>
        </w:rPr>
        <w:t xml:space="preserve"> </w:t>
      </w:r>
      <w:r w:rsidRPr="00563823">
        <w:rPr>
          <w:rStyle w:val="Emphasis"/>
          <w:rFonts w:ascii="Traditional Arabic" w:hAnsi="Traditional Arabic" w:cs="Traditional Arabic"/>
          <w:i w:val="0"/>
          <w:iCs w:val="0"/>
          <w:color w:val="000000" w:themeColor="text1"/>
          <w:sz w:val="22"/>
          <w:szCs w:val="22"/>
          <w:bdr w:val="none" w:sz="0" w:space="0" w:color="auto" w:frame="1"/>
        </w:rPr>
        <w:t xml:space="preserve">Human Societies: An Introduction </w:t>
      </w:r>
      <w:r w:rsidR="00563823" w:rsidRPr="00563823">
        <w:rPr>
          <w:rStyle w:val="Emphasis"/>
          <w:rFonts w:ascii="Traditional Arabic" w:hAnsi="Traditional Arabic" w:cs="Traditional Arabic"/>
          <w:i w:val="0"/>
          <w:iCs w:val="0"/>
          <w:color w:val="000000" w:themeColor="text1"/>
          <w:sz w:val="22"/>
          <w:szCs w:val="22"/>
          <w:bdr w:val="none" w:sz="0" w:space="0" w:color="auto" w:frame="1"/>
        </w:rPr>
        <w:t>to</w:t>
      </w:r>
      <w:r w:rsidRPr="00563823">
        <w:rPr>
          <w:rStyle w:val="Emphasis"/>
          <w:rFonts w:ascii="Traditional Arabic" w:hAnsi="Traditional Arabic" w:cs="Traditional Arabic"/>
          <w:i w:val="0"/>
          <w:iCs w:val="0"/>
          <w:color w:val="000000" w:themeColor="text1"/>
          <w:sz w:val="22"/>
          <w:szCs w:val="22"/>
          <w:bdr w:val="none" w:sz="0" w:space="0" w:color="auto" w:frame="1"/>
        </w:rPr>
        <w:t xml:space="preserve"> Macrosociology</w:t>
      </w:r>
      <w:r w:rsidRPr="00563823">
        <w:rPr>
          <w:rFonts w:ascii="Traditional Arabic" w:hAnsi="Traditional Arabic" w:cs="Traditional Arabic"/>
          <w:i/>
          <w:iCs/>
          <w:color w:val="000000" w:themeColor="text1"/>
          <w:sz w:val="22"/>
          <w:szCs w:val="22"/>
        </w:rPr>
        <w:t xml:space="preserve">. </w:t>
      </w:r>
      <w:proofErr w:type="spellStart"/>
      <w:r w:rsidRPr="00563823">
        <w:rPr>
          <w:rFonts w:ascii="Traditional Arabic" w:hAnsi="Traditional Arabic" w:cs="Traditional Arabic"/>
          <w:color w:val="000000" w:themeColor="text1"/>
          <w:sz w:val="22"/>
          <w:szCs w:val="22"/>
        </w:rPr>
        <w:t>Mcgraw-Hill</w:t>
      </w:r>
      <w:proofErr w:type="spellEnd"/>
      <w:r w:rsidRPr="00563823">
        <w:rPr>
          <w:rFonts w:ascii="Traditional Arabic" w:hAnsi="Traditional Arabic" w:cs="Traditional Arabic"/>
          <w:i/>
          <w:iCs/>
          <w:color w:val="000000" w:themeColor="text1"/>
          <w:sz w:val="22"/>
          <w:szCs w:val="22"/>
        </w:rPr>
        <w:t xml:space="preserve">, </w:t>
      </w:r>
      <w:r w:rsidRPr="00563823">
        <w:rPr>
          <w:rFonts w:ascii="Traditional Arabic" w:hAnsi="Traditional Arabic" w:cs="Traditional Arabic"/>
          <w:i/>
          <w:iCs/>
          <w:color w:val="000000" w:themeColor="text1"/>
          <w:sz w:val="22"/>
          <w:szCs w:val="22"/>
          <w:rtl/>
        </w:rPr>
        <w:t>1974</w:t>
      </w:r>
      <w:r w:rsidRPr="00563823">
        <w:rPr>
          <w:rFonts w:ascii="Traditional Arabic" w:hAnsi="Traditional Arabic" w:cs="Traditional Arabic"/>
          <w:i/>
          <w:iCs/>
          <w:color w:val="000000" w:themeColor="text1"/>
          <w:sz w:val="22"/>
          <w:szCs w:val="22"/>
        </w:rPr>
        <w:t xml:space="preserve">, P </w:t>
      </w:r>
      <w:r w:rsidRPr="00563823">
        <w:rPr>
          <w:rFonts w:ascii="Traditional Arabic" w:hAnsi="Traditional Arabic" w:cs="Traditional Arabic"/>
          <w:i/>
          <w:iCs/>
          <w:color w:val="000000" w:themeColor="text1"/>
          <w:sz w:val="22"/>
          <w:szCs w:val="22"/>
          <w:rtl/>
        </w:rPr>
        <w:t>96</w:t>
      </w:r>
      <w:r w:rsidRPr="00563823">
        <w:rPr>
          <w:rFonts w:ascii="Traditional Arabic" w:hAnsi="Traditional Arabic" w:cs="Traditional Arabic"/>
          <w:i/>
          <w:iCs/>
          <w:color w:val="000000" w:themeColor="text1"/>
          <w:sz w:val="22"/>
          <w:szCs w:val="22"/>
        </w:rPr>
        <w:t>.</w:t>
      </w:r>
    </w:p>
  </w:footnote>
  <w:footnote w:id="2">
    <w:p w14:paraId="62831E32" w14:textId="1662F24C" w:rsidR="003C4022" w:rsidRPr="003C4022" w:rsidRDefault="003C4022" w:rsidP="003C4022">
      <w:pPr>
        <w:pStyle w:val="FootnoteText"/>
        <w:rPr>
          <w:rFonts w:ascii="Traditional Arabic" w:hAnsi="Traditional Arabic" w:cs="Traditional Arabic"/>
          <w:color w:val="000000" w:themeColor="text1"/>
          <w:sz w:val="22"/>
          <w:szCs w:val="22"/>
          <w:lang w:val="fr-FR"/>
        </w:rPr>
      </w:pPr>
      <w:r w:rsidRPr="003C4022">
        <w:rPr>
          <w:rStyle w:val="FootnoteReference"/>
          <w:rFonts w:ascii="Traditional Arabic" w:hAnsi="Traditional Arabic" w:cs="Traditional Arabic"/>
          <w:color w:val="000000" w:themeColor="text1"/>
          <w:sz w:val="22"/>
          <w:szCs w:val="22"/>
        </w:rPr>
        <w:footnoteRef/>
      </w:r>
      <w:r w:rsidRPr="003C4022">
        <w:rPr>
          <w:rFonts w:ascii="Traditional Arabic" w:hAnsi="Traditional Arabic" w:cs="Traditional Arabic"/>
          <w:color w:val="000000" w:themeColor="text1"/>
          <w:sz w:val="22"/>
          <w:szCs w:val="22"/>
        </w:rPr>
        <w:t xml:space="preserve"> Lenski,</w:t>
      </w:r>
      <w:r w:rsidRPr="003C4022">
        <w:rPr>
          <w:rFonts w:ascii="Traditional Arabic" w:hAnsi="Traditional Arabic" w:cs="Traditional Arabic"/>
          <w:color w:val="000000" w:themeColor="text1"/>
          <w:sz w:val="22"/>
          <w:szCs w:val="22"/>
          <w:shd w:val="clear" w:color="auto" w:fill="FFFFFF"/>
        </w:rPr>
        <w:t xml:space="preserve"> Op. </w:t>
      </w:r>
      <w:proofErr w:type="spellStart"/>
      <w:r w:rsidRPr="003C4022">
        <w:rPr>
          <w:rFonts w:ascii="Traditional Arabic" w:hAnsi="Traditional Arabic" w:cs="Traditional Arabic"/>
          <w:color w:val="000000" w:themeColor="text1"/>
          <w:sz w:val="22"/>
          <w:szCs w:val="22"/>
          <w:shd w:val="clear" w:color="auto" w:fill="FFFFFF"/>
          <w:lang w:val="fr-FR"/>
        </w:rPr>
        <w:t>Cit</w:t>
      </w:r>
      <w:proofErr w:type="spellEnd"/>
      <w:r w:rsidRPr="003C4022">
        <w:rPr>
          <w:rFonts w:ascii="Traditional Arabic" w:hAnsi="Traditional Arabic" w:cs="Traditional Arabic"/>
          <w:color w:val="000000" w:themeColor="text1"/>
          <w:sz w:val="22"/>
          <w:szCs w:val="22"/>
          <w:lang w:val="fr-FR"/>
        </w:rPr>
        <w:t xml:space="preserve">, P </w:t>
      </w:r>
      <w:r w:rsidRPr="003C4022">
        <w:rPr>
          <w:rFonts w:ascii="Traditional Arabic" w:hAnsi="Traditional Arabic" w:cs="Traditional Arabic"/>
          <w:color w:val="000000" w:themeColor="text1"/>
          <w:sz w:val="22"/>
          <w:szCs w:val="22"/>
          <w:rtl/>
        </w:rPr>
        <w:t>46</w:t>
      </w:r>
    </w:p>
  </w:footnote>
  <w:footnote w:id="3">
    <w:p w14:paraId="5B2A5514" w14:textId="02AF860F" w:rsidR="003C4022" w:rsidRPr="003C4022" w:rsidRDefault="003C4022" w:rsidP="003C4022">
      <w:pPr>
        <w:pStyle w:val="FootnoteText"/>
        <w:rPr>
          <w:rFonts w:ascii="Traditional Arabic" w:hAnsi="Traditional Arabic" w:cs="Traditional Arabic"/>
          <w:color w:val="000000" w:themeColor="text1"/>
          <w:sz w:val="22"/>
          <w:szCs w:val="22"/>
          <w:rtl/>
          <w:lang w:bidi="ar-DZ"/>
        </w:rPr>
      </w:pPr>
      <w:r w:rsidRPr="003C4022">
        <w:rPr>
          <w:rStyle w:val="FootnoteReference"/>
          <w:rFonts w:ascii="Traditional Arabic" w:hAnsi="Traditional Arabic" w:cs="Traditional Arabic"/>
          <w:color w:val="000000" w:themeColor="text1"/>
          <w:sz w:val="22"/>
          <w:szCs w:val="22"/>
        </w:rPr>
        <w:footnoteRef/>
      </w:r>
      <w:r w:rsidRPr="003C4022">
        <w:rPr>
          <w:rFonts w:ascii="Traditional Arabic" w:hAnsi="Traditional Arabic" w:cs="Traditional Arabic"/>
          <w:color w:val="000000" w:themeColor="text1"/>
          <w:sz w:val="22"/>
          <w:szCs w:val="22"/>
          <w:lang w:val="fr-FR"/>
        </w:rPr>
        <w:t xml:space="preserve"> </w:t>
      </w:r>
      <w:proofErr w:type="spellStart"/>
      <w:r w:rsidRPr="003C4022">
        <w:rPr>
          <w:rFonts w:ascii="Traditional Arabic" w:hAnsi="Traditional Arabic" w:cs="Traditional Arabic"/>
          <w:color w:val="000000" w:themeColor="text1"/>
          <w:sz w:val="22"/>
          <w:szCs w:val="22"/>
          <w:lang w:val="fr-FR"/>
        </w:rPr>
        <w:t>Lenski</w:t>
      </w:r>
      <w:proofErr w:type="spellEnd"/>
      <w:r>
        <w:rPr>
          <w:rFonts w:ascii="Traditional Arabic" w:hAnsi="Traditional Arabic" w:cs="Traditional Arabic"/>
          <w:color w:val="000000" w:themeColor="text1"/>
          <w:sz w:val="22"/>
          <w:szCs w:val="22"/>
          <w:lang w:val="fr-FR" w:bidi="ar-EG"/>
        </w:rPr>
        <w:t xml:space="preserve">, </w:t>
      </w:r>
      <w:r w:rsidRPr="003C4022">
        <w:rPr>
          <w:rFonts w:ascii="Traditional Arabic" w:hAnsi="Traditional Arabic" w:cs="Traditional Arabic"/>
          <w:color w:val="000000" w:themeColor="text1"/>
          <w:sz w:val="22"/>
          <w:szCs w:val="22"/>
          <w:shd w:val="clear" w:color="auto" w:fill="FFFFFF"/>
          <w:lang w:val="fr-FR"/>
        </w:rPr>
        <w:t xml:space="preserve">Op. </w:t>
      </w:r>
      <w:proofErr w:type="spellStart"/>
      <w:r w:rsidRPr="003C4022">
        <w:rPr>
          <w:rFonts w:ascii="Traditional Arabic" w:hAnsi="Traditional Arabic" w:cs="Traditional Arabic"/>
          <w:color w:val="000000" w:themeColor="text1"/>
          <w:sz w:val="22"/>
          <w:szCs w:val="22"/>
          <w:shd w:val="clear" w:color="auto" w:fill="FFFFFF"/>
          <w:lang w:val="fr-FR"/>
        </w:rPr>
        <w:t>Cit</w:t>
      </w:r>
      <w:proofErr w:type="spellEnd"/>
      <w:r w:rsidRPr="003C4022">
        <w:rPr>
          <w:rFonts w:ascii="Traditional Arabic" w:hAnsi="Traditional Arabic" w:cs="Traditional Arabic"/>
          <w:color w:val="000000" w:themeColor="text1"/>
          <w:sz w:val="22"/>
          <w:szCs w:val="22"/>
          <w:shd w:val="clear" w:color="auto" w:fill="FFFFFF"/>
          <w:lang w:val="fr-FR"/>
        </w:rPr>
        <w:t>.</w:t>
      </w:r>
      <w:r w:rsidRPr="003C4022">
        <w:rPr>
          <w:rFonts w:ascii="Traditional Arabic" w:hAnsi="Traditional Arabic" w:cs="Traditional Arabic"/>
          <w:color w:val="000000" w:themeColor="text1"/>
          <w:sz w:val="22"/>
          <w:szCs w:val="22"/>
          <w:rtl/>
        </w:rPr>
        <w:t xml:space="preserve"> </w:t>
      </w:r>
      <w:r w:rsidRPr="003C4022">
        <w:rPr>
          <w:rFonts w:ascii="Traditional Arabic" w:hAnsi="Traditional Arabic" w:cs="Traditional Arabic"/>
          <w:color w:val="000000" w:themeColor="text1"/>
          <w:sz w:val="22"/>
          <w:szCs w:val="22"/>
          <w:lang w:val="fr-FR" w:bidi="ar-DZ"/>
        </w:rPr>
        <w:t>P</w:t>
      </w:r>
      <w:r w:rsidRPr="003C4022">
        <w:rPr>
          <w:rFonts w:ascii="Traditional Arabic" w:hAnsi="Traditional Arabic" w:cs="Traditional Arabic"/>
          <w:color w:val="000000" w:themeColor="text1"/>
          <w:sz w:val="22"/>
          <w:szCs w:val="22"/>
          <w:rtl/>
        </w:rPr>
        <w:t xml:space="preserve"> 165</w:t>
      </w:r>
      <w:r w:rsidRPr="003C4022">
        <w:rPr>
          <w:rFonts w:ascii="Traditional Arabic" w:hAnsi="Traditional Arabic" w:cs="Traditional Arabic"/>
          <w:color w:val="000000" w:themeColor="text1"/>
          <w:sz w:val="22"/>
          <w:szCs w:val="22"/>
          <w:lang w:val="fr-FR"/>
        </w:rPr>
        <w:t>.</w:t>
      </w:r>
    </w:p>
  </w:footnote>
  <w:footnote w:id="4">
    <w:p w14:paraId="020ED635" w14:textId="26BDC0CC" w:rsidR="003C4022" w:rsidRPr="003C4022" w:rsidRDefault="003C4022" w:rsidP="003C4022">
      <w:pPr>
        <w:pStyle w:val="FootnoteText"/>
        <w:rPr>
          <w:rFonts w:ascii="Traditional Arabic" w:hAnsi="Traditional Arabic" w:cs="Traditional Arabic"/>
          <w:color w:val="000000" w:themeColor="text1"/>
          <w:sz w:val="22"/>
          <w:szCs w:val="22"/>
          <w:rtl/>
          <w:lang w:bidi="ar-DZ"/>
        </w:rPr>
      </w:pPr>
      <w:r w:rsidRPr="003C4022">
        <w:rPr>
          <w:rStyle w:val="FootnoteReference"/>
          <w:rFonts w:ascii="Traditional Arabic" w:hAnsi="Traditional Arabic" w:cs="Traditional Arabic"/>
          <w:color w:val="000000" w:themeColor="text1"/>
          <w:sz w:val="22"/>
          <w:szCs w:val="22"/>
        </w:rPr>
        <w:footnoteRef/>
      </w:r>
      <w:r w:rsidRPr="00CF33E2">
        <w:rPr>
          <w:rFonts w:ascii="Traditional Arabic" w:hAnsi="Traditional Arabic" w:cs="Traditional Arabic"/>
          <w:color w:val="000000" w:themeColor="text1"/>
          <w:sz w:val="22"/>
          <w:szCs w:val="22"/>
          <w:lang w:val="fr-FR"/>
        </w:rPr>
        <w:t xml:space="preserve"> </w:t>
      </w:r>
      <w:proofErr w:type="spellStart"/>
      <w:r w:rsidRPr="00CF33E2">
        <w:rPr>
          <w:rFonts w:ascii="Traditional Arabic" w:hAnsi="Traditional Arabic" w:cs="Traditional Arabic"/>
          <w:color w:val="000000" w:themeColor="text1"/>
          <w:sz w:val="22"/>
          <w:szCs w:val="22"/>
          <w:lang w:val="fr-FR"/>
        </w:rPr>
        <w:t>Lenski</w:t>
      </w:r>
      <w:proofErr w:type="spellEnd"/>
      <w:r w:rsidRPr="00CF33E2">
        <w:rPr>
          <w:rFonts w:ascii="Traditional Arabic" w:hAnsi="Traditional Arabic" w:cs="Traditional Arabic"/>
          <w:color w:val="000000" w:themeColor="text1"/>
          <w:sz w:val="22"/>
          <w:szCs w:val="22"/>
          <w:lang w:val="fr-FR"/>
        </w:rPr>
        <w:t>,</w:t>
      </w:r>
      <w:r w:rsidRPr="003C4022">
        <w:rPr>
          <w:rFonts w:ascii="Traditional Arabic" w:hAnsi="Traditional Arabic" w:cs="Traditional Arabic"/>
          <w:color w:val="000000" w:themeColor="text1"/>
          <w:sz w:val="22"/>
          <w:szCs w:val="22"/>
          <w:rtl/>
        </w:rPr>
        <w:t xml:space="preserve"> </w:t>
      </w:r>
      <w:r w:rsidRPr="00CF33E2">
        <w:rPr>
          <w:rFonts w:ascii="Traditional Arabic" w:hAnsi="Traditional Arabic" w:cs="Traditional Arabic"/>
          <w:color w:val="000000" w:themeColor="text1"/>
          <w:sz w:val="22"/>
          <w:szCs w:val="22"/>
          <w:shd w:val="clear" w:color="auto" w:fill="FFFFFF"/>
          <w:lang w:val="fr-FR"/>
        </w:rPr>
        <w:t xml:space="preserve">Op. </w:t>
      </w:r>
      <w:proofErr w:type="spellStart"/>
      <w:r w:rsidRPr="00CF33E2">
        <w:rPr>
          <w:rFonts w:ascii="Traditional Arabic" w:hAnsi="Traditional Arabic" w:cs="Traditional Arabic"/>
          <w:color w:val="000000" w:themeColor="text1"/>
          <w:sz w:val="22"/>
          <w:szCs w:val="22"/>
          <w:shd w:val="clear" w:color="auto" w:fill="FFFFFF"/>
          <w:lang w:val="fr-FR"/>
        </w:rPr>
        <w:t>Cit</w:t>
      </w:r>
      <w:proofErr w:type="spellEnd"/>
      <w:r w:rsidRPr="003C4022">
        <w:rPr>
          <w:rFonts w:ascii="Traditional Arabic" w:hAnsi="Traditional Arabic" w:cs="Traditional Arabic"/>
          <w:color w:val="000000" w:themeColor="text1"/>
          <w:sz w:val="22"/>
          <w:szCs w:val="22"/>
          <w:rtl/>
        </w:rPr>
        <w:t xml:space="preserve">, </w:t>
      </w:r>
      <w:r w:rsidRPr="00CF33E2">
        <w:rPr>
          <w:rFonts w:ascii="Traditional Arabic" w:hAnsi="Traditional Arabic" w:cs="Traditional Arabic"/>
          <w:color w:val="000000" w:themeColor="text1"/>
          <w:sz w:val="22"/>
          <w:szCs w:val="22"/>
          <w:lang w:val="fr-FR" w:bidi="ar-DZ"/>
        </w:rPr>
        <w:t xml:space="preserve">P </w:t>
      </w:r>
      <w:r w:rsidRPr="003C4022">
        <w:rPr>
          <w:rFonts w:ascii="Traditional Arabic" w:hAnsi="Traditional Arabic" w:cs="Traditional Arabic"/>
          <w:color w:val="000000" w:themeColor="text1"/>
          <w:sz w:val="22"/>
          <w:szCs w:val="22"/>
          <w:rtl/>
        </w:rPr>
        <w:t>207</w:t>
      </w:r>
    </w:p>
  </w:footnote>
  <w:footnote w:id="5">
    <w:p w14:paraId="0E3C5EFD" w14:textId="142A3373" w:rsidR="003C4022" w:rsidRPr="003C4022" w:rsidRDefault="003C4022" w:rsidP="003C4022">
      <w:pPr>
        <w:pStyle w:val="FootnoteText"/>
        <w:rPr>
          <w:rFonts w:ascii="Traditional Arabic" w:hAnsi="Traditional Arabic" w:cs="Traditional Arabic"/>
          <w:color w:val="000000" w:themeColor="text1"/>
          <w:sz w:val="22"/>
          <w:szCs w:val="22"/>
          <w:rtl/>
          <w:lang w:bidi="ar-DZ"/>
        </w:rPr>
      </w:pPr>
      <w:r w:rsidRPr="003C4022">
        <w:rPr>
          <w:rStyle w:val="FootnoteReference"/>
          <w:rFonts w:ascii="Traditional Arabic" w:hAnsi="Traditional Arabic" w:cs="Traditional Arabic"/>
          <w:color w:val="000000" w:themeColor="text1"/>
          <w:sz w:val="22"/>
          <w:szCs w:val="22"/>
        </w:rPr>
        <w:footnoteRef/>
      </w:r>
      <w:r w:rsidRPr="003C4022">
        <w:rPr>
          <w:rFonts w:ascii="Traditional Arabic" w:hAnsi="Traditional Arabic" w:cs="Traditional Arabic"/>
          <w:color w:val="000000" w:themeColor="text1"/>
          <w:sz w:val="22"/>
          <w:szCs w:val="22"/>
        </w:rPr>
        <w:t xml:space="preserve"> </w:t>
      </w:r>
      <w:proofErr w:type="spellStart"/>
      <w:r w:rsidRPr="00563823">
        <w:rPr>
          <w:rFonts w:ascii="Traditional Arabic" w:hAnsi="Traditional Arabic" w:cs="Traditional Arabic"/>
          <w:color w:val="000000" w:themeColor="text1"/>
          <w:sz w:val="22"/>
          <w:szCs w:val="22"/>
        </w:rPr>
        <w:t>Openstax</w:t>
      </w:r>
      <w:proofErr w:type="spellEnd"/>
      <w:r w:rsidRPr="00563823">
        <w:rPr>
          <w:rFonts w:ascii="Traditional Arabic" w:hAnsi="Traditional Arabic" w:cs="Traditional Arabic"/>
          <w:color w:val="000000" w:themeColor="text1"/>
          <w:sz w:val="22"/>
          <w:szCs w:val="22"/>
          <w:lang w:bidi="ar-DZ"/>
        </w:rPr>
        <w:t xml:space="preserve">, </w:t>
      </w:r>
      <w:r w:rsidRPr="00563823">
        <w:rPr>
          <w:rStyle w:val="Emphasis"/>
          <w:rFonts w:ascii="Traditional Arabic" w:hAnsi="Traditional Arabic" w:cs="Traditional Arabic"/>
          <w:color w:val="000000" w:themeColor="text1"/>
          <w:sz w:val="22"/>
          <w:szCs w:val="22"/>
          <w:bdr w:val="none" w:sz="0" w:space="0" w:color="auto" w:frame="1"/>
        </w:rPr>
        <w:t xml:space="preserve">Introduction </w:t>
      </w:r>
      <w:r w:rsidR="00563823" w:rsidRPr="00563823">
        <w:rPr>
          <w:rStyle w:val="Emphasis"/>
          <w:rFonts w:ascii="Traditional Arabic" w:hAnsi="Traditional Arabic" w:cs="Traditional Arabic"/>
          <w:color w:val="000000" w:themeColor="text1"/>
          <w:sz w:val="22"/>
          <w:szCs w:val="22"/>
          <w:bdr w:val="none" w:sz="0" w:space="0" w:color="auto" w:frame="1"/>
        </w:rPr>
        <w:t>to</w:t>
      </w:r>
      <w:r w:rsidRPr="00563823">
        <w:rPr>
          <w:rStyle w:val="Emphasis"/>
          <w:rFonts w:ascii="Traditional Arabic" w:hAnsi="Traditional Arabic" w:cs="Traditional Arabic"/>
          <w:color w:val="000000" w:themeColor="text1"/>
          <w:sz w:val="22"/>
          <w:szCs w:val="22"/>
          <w:bdr w:val="none" w:sz="0" w:space="0" w:color="auto" w:frame="1"/>
        </w:rPr>
        <w:t xml:space="preserve"> Sociology, 3rd Edition</w:t>
      </w:r>
      <w:r w:rsidRPr="00563823">
        <w:rPr>
          <w:rFonts w:ascii="Traditional Arabic" w:hAnsi="Traditional Arabic" w:cs="Traditional Arabic"/>
          <w:color w:val="000000" w:themeColor="text1"/>
          <w:sz w:val="22"/>
          <w:szCs w:val="22"/>
        </w:rPr>
        <w:t xml:space="preserve">. Rice </w:t>
      </w:r>
      <w:r w:rsidR="00563823" w:rsidRPr="00563823">
        <w:rPr>
          <w:rFonts w:ascii="Traditional Arabic" w:hAnsi="Traditional Arabic" w:cs="Traditional Arabic"/>
          <w:color w:val="000000" w:themeColor="text1"/>
          <w:sz w:val="22"/>
          <w:szCs w:val="22"/>
        </w:rPr>
        <w:t>University</w:t>
      </w:r>
      <w:r w:rsidR="00563823" w:rsidRPr="00563823">
        <w:rPr>
          <w:rFonts w:ascii="Traditional Arabic" w:hAnsi="Traditional Arabic" w:cs="Traditional Arabic"/>
          <w:color w:val="000000" w:themeColor="text1"/>
          <w:sz w:val="22"/>
          <w:szCs w:val="22"/>
          <w:lang w:bidi="ar-DZ"/>
        </w:rPr>
        <w:t>,</w:t>
      </w:r>
      <w:r w:rsidRPr="00563823">
        <w:rPr>
          <w:rFonts w:ascii="Traditional Arabic" w:hAnsi="Traditional Arabic" w:cs="Traditional Arabic"/>
          <w:color w:val="000000" w:themeColor="text1"/>
          <w:sz w:val="22"/>
          <w:szCs w:val="22"/>
          <w:lang w:bidi="ar-DZ"/>
        </w:rPr>
        <w:t xml:space="preserve"> 2021, </w:t>
      </w:r>
      <w:r w:rsidR="00563823" w:rsidRPr="00563823">
        <w:rPr>
          <w:rFonts w:ascii="Traditional Arabic" w:hAnsi="Traditional Arabic" w:cs="Traditional Arabic"/>
          <w:color w:val="000000" w:themeColor="text1"/>
          <w:sz w:val="22"/>
          <w:szCs w:val="22"/>
          <w:lang w:bidi="ar-DZ"/>
        </w:rPr>
        <w:t>P</w:t>
      </w:r>
      <w:r w:rsidR="00563823" w:rsidRPr="00563823">
        <w:rPr>
          <w:rFonts w:ascii="Traditional Arabic" w:hAnsi="Traditional Arabic" w:cs="Traditional Arabic"/>
          <w:color w:val="000000" w:themeColor="text1"/>
          <w:sz w:val="22"/>
          <w:szCs w:val="22"/>
        </w:rPr>
        <w:t xml:space="preserve"> </w:t>
      </w:r>
      <w:r w:rsidR="00563823" w:rsidRPr="00563823">
        <w:rPr>
          <w:rFonts w:ascii="Traditional Arabic" w:hAnsi="Traditional Arabic" w:cs="Traditional Arabic" w:hint="cs"/>
          <w:color w:val="000000" w:themeColor="text1"/>
          <w:sz w:val="22"/>
          <w:szCs w:val="22"/>
          <w:rtl/>
        </w:rPr>
        <w:t>102</w:t>
      </w:r>
      <w:r w:rsidRPr="00563823">
        <w:rPr>
          <w:rFonts w:ascii="Traditional Arabic" w:hAnsi="Traditional Arabic" w:cs="Traditional Arabic"/>
          <w:color w:val="000000" w:themeColor="text1"/>
          <w:sz w:val="22"/>
          <w:szCs w:val="22"/>
        </w:rPr>
        <w:t>.</w:t>
      </w:r>
    </w:p>
  </w:footnote>
  <w:footnote w:id="6">
    <w:p w14:paraId="19342447" w14:textId="418E6BBD" w:rsidR="003C4022" w:rsidRPr="003C4022" w:rsidRDefault="003C4022">
      <w:pPr>
        <w:pStyle w:val="FootnoteText"/>
        <w:rPr>
          <w:rFonts w:ascii="Traditional Arabic" w:hAnsi="Traditional Arabic" w:cs="Traditional Arabic"/>
          <w:color w:val="000000" w:themeColor="text1"/>
          <w:sz w:val="22"/>
          <w:szCs w:val="22"/>
        </w:rPr>
      </w:pPr>
      <w:r w:rsidRPr="003C4022">
        <w:rPr>
          <w:rStyle w:val="FootnoteReference"/>
          <w:rFonts w:ascii="Traditional Arabic" w:hAnsi="Traditional Arabic" w:cs="Traditional Arabic"/>
          <w:color w:val="000000" w:themeColor="text1"/>
          <w:sz w:val="22"/>
          <w:szCs w:val="22"/>
        </w:rPr>
        <w:footnoteRef/>
      </w:r>
      <w:r w:rsidRPr="003C4022">
        <w:rPr>
          <w:rFonts w:ascii="Traditional Arabic" w:hAnsi="Traditional Arabic" w:cs="Traditional Arabic"/>
          <w:color w:val="000000" w:themeColor="text1"/>
          <w:sz w:val="22"/>
          <w:szCs w:val="22"/>
        </w:rPr>
        <w:t xml:space="preserve"> </w:t>
      </w:r>
      <w:proofErr w:type="spellStart"/>
      <w:r w:rsidRPr="003C4022">
        <w:rPr>
          <w:rFonts w:ascii="Traditional Arabic" w:hAnsi="Traditional Arabic" w:cs="Traditional Arabic"/>
          <w:color w:val="000000" w:themeColor="text1"/>
          <w:sz w:val="22"/>
          <w:szCs w:val="22"/>
        </w:rPr>
        <w:t>Openstax</w:t>
      </w:r>
      <w:proofErr w:type="spellEnd"/>
      <w:r w:rsidRPr="003C4022">
        <w:rPr>
          <w:rFonts w:ascii="Traditional Arabic" w:hAnsi="Traditional Arabic" w:cs="Traditional Arabic"/>
          <w:color w:val="000000" w:themeColor="text1"/>
          <w:sz w:val="22"/>
          <w:szCs w:val="22"/>
          <w:lang w:bidi="ar-DZ"/>
        </w:rPr>
        <w:t xml:space="preserve">, </w:t>
      </w:r>
      <w:bookmarkStart w:id="0" w:name="_Hlk179018604"/>
      <w:r w:rsidRPr="003C4022">
        <w:rPr>
          <w:rFonts w:ascii="Traditional Arabic" w:hAnsi="Traditional Arabic" w:cs="Traditional Arabic"/>
          <w:color w:val="000000" w:themeColor="text1"/>
          <w:sz w:val="22"/>
          <w:szCs w:val="22"/>
          <w:shd w:val="clear" w:color="auto" w:fill="FFFFFF"/>
        </w:rPr>
        <w:t>Op. Cit</w:t>
      </w:r>
      <w:bookmarkEnd w:id="0"/>
      <w:r w:rsidRPr="003C4022">
        <w:rPr>
          <w:rFonts w:ascii="Traditional Arabic" w:hAnsi="Traditional Arabic" w:cs="Traditional Arabic"/>
          <w:color w:val="000000" w:themeColor="text1"/>
          <w:sz w:val="22"/>
          <w:szCs w:val="22"/>
          <w:lang w:bidi="ar-DZ"/>
        </w:rPr>
        <w:t xml:space="preserve">, </w:t>
      </w:r>
      <w:proofErr w:type="gramStart"/>
      <w:r w:rsidRPr="003C4022">
        <w:rPr>
          <w:rFonts w:ascii="Traditional Arabic" w:hAnsi="Traditional Arabic" w:cs="Traditional Arabic"/>
          <w:color w:val="000000" w:themeColor="text1"/>
          <w:sz w:val="22"/>
          <w:szCs w:val="22"/>
          <w:lang w:bidi="ar-DZ"/>
        </w:rPr>
        <w:t>P</w:t>
      </w:r>
      <w:r w:rsidRPr="003C4022">
        <w:rPr>
          <w:rFonts w:ascii="Traditional Arabic" w:hAnsi="Traditional Arabic" w:cs="Traditional Arabic"/>
          <w:color w:val="000000" w:themeColor="text1"/>
          <w:sz w:val="22"/>
          <w:szCs w:val="22"/>
        </w:rPr>
        <w:t xml:space="preserve"> </w:t>
      </w:r>
      <w:r w:rsidRPr="003C4022">
        <w:rPr>
          <w:rFonts w:ascii="Traditional Arabic" w:hAnsi="Traditional Arabic" w:cs="Traditional Arabic"/>
          <w:color w:val="000000" w:themeColor="text1"/>
          <w:sz w:val="22"/>
          <w:szCs w:val="22"/>
          <w:rtl/>
        </w:rPr>
        <w:t xml:space="preserve"> 102</w:t>
      </w:r>
      <w:proofErr w:type="gramEnd"/>
      <w:r w:rsidRPr="003C4022">
        <w:rPr>
          <w:rFonts w:ascii="Traditional Arabic" w:hAnsi="Traditional Arabic" w:cs="Traditional Arabic"/>
          <w:color w:val="000000" w:themeColor="text1"/>
          <w:sz w:val="22"/>
          <w:szCs w:val="22"/>
        </w:rPr>
        <w:t>.</w:t>
      </w:r>
    </w:p>
  </w:footnote>
  <w:footnote w:id="7">
    <w:p w14:paraId="3D14B813" w14:textId="606A79E8" w:rsidR="003C4022" w:rsidRPr="00185CBF" w:rsidRDefault="003C4022" w:rsidP="003C4022">
      <w:pPr>
        <w:pStyle w:val="FootnoteText"/>
        <w:rPr>
          <w:rFonts w:ascii="Traditional Arabic" w:hAnsi="Traditional Arabic" w:cs="Traditional Arabic"/>
          <w:color w:val="000000" w:themeColor="text1"/>
          <w:sz w:val="22"/>
          <w:szCs w:val="22"/>
        </w:rPr>
      </w:pPr>
      <w:r w:rsidRPr="003C4022">
        <w:rPr>
          <w:rStyle w:val="FootnoteReference"/>
          <w:rFonts w:ascii="Traditional Arabic" w:hAnsi="Traditional Arabic" w:cs="Traditional Arabic"/>
          <w:color w:val="000000" w:themeColor="text1"/>
          <w:sz w:val="22"/>
          <w:szCs w:val="22"/>
        </w:rPr>
        <w:footnoteRef/>
      </w:r>
      <w:r w:rsidRPr="003C4022">
        <w:rPr>
          <w:rFonts w:ascii="Traditional Arabic" w:hAnsi="Traditional Arabic" w:cs="Traditional Arabic"/>
          <w:color w:val="000000" w:themeColor="text1"/>
          <w:sz w:val="22"/>
          <w:szCs w:val="22"/>
        </w:rPr>
        <w:t>Abha Chauhan</w:t>
      </w:r>
      <w:r w:rsidRPr="003C4022">
        <w:rPr>
          <w:rFonts w:ascii="Traditional Arabic" w:hAnsi="Traditional Arabic" w:cs="Traditional Arabic"/>
          <w:color w:val="000000" w:themeColor="text1"/>
          <w:sz w:val="22"/>
          <w:szCs w:val="22"/>
          <w:rtl/>
        </w:rPr>
        <w:t>.</w:t>
      </w:r>
      <w:r w:rsidRPr="003C4022">
        <w:rPr>
          <w:rFonts w:ascii="Traditional Arabic" w:hAnsi="Traditional Arabic" w:cs="Traditional Arabic"/>
          <w:color w:val="000000" w:themeColor="text1"/>
          <w:sz w:val="22"/>
          <w:szCs w:val="22"/>
        </w:rPr>
        <w:t xml:space="preserve">  Social Stratification </w:t>
      </w:r>
      <w:r w:rsidR="00CF33E2" w:rsidRPr="003C4022">
        <w:rPr>
          <w:rFonts w:ascii="Traditional Arabic" w:hAnsi="Traditional Arabic" w:cs="Traditional Arabic"/>
          <w:color w:val="000000" w:themeColor="text1"/>
          <w:sz w:val="22"/>
          <w:szCs w:val="22"/>
        </w:rPr>
        <w:t>and</w:t>
      </w:r>
      <w:r w:rsidRPr="003C4022">
        <w:rPr>
          <w:rFonts w:ascii="Traditional Arabic" w:hAnsi="Traditional Arabic" w:cs="Traditional Arabic"/>
          <w:color w:val="000000" w:themeColor="text1"/>
          <w:sz w:val="22"/>
          <w:szCs w:val="22"/>
        </w:rPr>
        <w:t xml:space="preserve"> </w:t>
      </w:r>
      <w:r w:rsidR="00CF33E2" w:rsidRPr="003C4022">
        <w:rPr>
          <w:rFonts w:ascii="Traditional Arabic" w:hAnsi="Traditional Arabic" w:cs="Traditional Arabic"/>
          <w:color w:val="000000" w:themeColor="text1"/>
          <w:sz w:val="22"/>
          <w:szCs w:val="22"/>
        </w:rPr>
        <w:t>Mobility</w:t>
      </w:r>
      <w:r w:rsidRPr="003C4022">
        <w:rPr>
          <w:rFonts w:ascii="Traditional Arabic" w:hAnsi="Traditional Arabic" w:cs="Traditional Arabic"/>
          <w:color w:val="000000" w:themeColor="text1"/>
          <w:sz w:val="22"/>
          <w:szCs w:val="22"/>
          <w:rtl/>
          <w:lang w:val="fr-FR"/>
        </w:rPr>
        <w:t>.</w:t>
      </w:r>
      <w:r w:rsidRPr="003C4022">
        <w:rPr>
          <w:rFonts w:ascii="Traditional Arabic" w:hAnsi="Traditional Arabic" w:cs="Traditional Arabic"/>
          <w:color w:val="000000" w:themeColor="text1"/>
          <w:sz w:val="22"/>
          <w:szCs w:val="22"/>
        </w:rPr>
        <w:t xml:space="preserve"> Directorate Of Distance Education University </w:t>
      </w:r>
      <w:r w:rsidR="00CF33E2" w:rsidRPr="003C4022">
        <w:rPr>
          <w:rFonts w:ascii="Traditional Arabic" w:hAnsi="Traditional Arabic" w:cs="Traditional Arabic"/>
          <w:color w:val="000000" w:themeColor="text1"/>
          <w:sz w:val="22"/>
          <w:szCs w:val="22"/>
        </w:rPr>
        <w:t>of</w:t>
      </w:r>
      <w:r w:rsidRPr="003C4022">
        <w:rPr>
          <w:rFonts w:ascii="Traditional Arabic" w:hAnsi="Traditional Arabic" w:cs="Traditional Arabic"/>
          <w:color w:val="000000" w:themeColor="text1"/>
          <w:sz w:val="22"/>
          <w:szCs w:val="22"/>
        </w:rPr>
        <w:t xml:space="preserve"> Jammu</w:t>
      </w:r>
      <w:r w:rsidRPr="003C4022">
        <w:rPr>
          <w:rFonts w:ascii="Traditional Arabic" w:hAnsi="Traditional Arabic" w:cs="Traditional Arabic"/>
          <w:color w:val="000000" w:themeColor="text1"/>
          <w:sz w:val="22"/>
          <w:szCs w:val="22"/>
          <w:rtl/>
        </w:rPr>
        <w:t>.</w:t>
      </w:r>
      <w:r w:rsidRPr="003C4022">
        <w:rPr>
          <w:rFonts w:ascii="Traditional Arabic" w:hAnsi="Traditional Arabic" w:cs="Traditional Arabic"/>
          <w:color w:val="000000" w:themeColor="text1"/>
          <w:sz w:val="22"/>
          <w:szCs w:val="22"/>
        </w:rPr>
        <w:t xml:space="preserve"> </w:t>
      </w:r>
      <w:r w:rsidRPr="00185CBF">
        <w:rPr>
          <w:rFonts w:ascii="Traditional Arabic" w:hAnsi="Traditional Arabic" w:cs="Traditional Arabic"/>
          <w:color w:val="000000" w:themeColor="text1"/>
          <w:sz w:val="22"/>
          <w:szCs w:val="22"/>
        </w:rPr>
        <w:t>2018</w:t>
      </w:r>
      <w:r w:rsidRPr="003C4022">
        <w:rPr>
          <w:rFonts w:ascii="Traditional Arabic" w:hAnsi="Traditional Arabic" w:cs="Traditional Arabic"/>
          <w:color w:val="000000" w:themeColor="text1"/>
          <w:sz w:val="22"/>
          <w:szCs w:val="22"/>
        </w:rPr>
        <w:t>, Pp</w:t>
      </w:r>
      <w:r w:rsidRPr="00185CBF">
        <w:rPr>
          <w:rFonts w:ascii="Traditional Arabic" w:hAnsi="Traditional Arabic" w:cs="Traditional Arabic"/>
          <w:color w:val="000000" w:themeColor="text1"/>
          <w:sz w:val="22"/>
          <w:szCs w:val="22"/>
        </w:rPr>
        <w:t>167</w:t>
      </w:r>
      <w:r w:rsidRPr="003C4022">
        <w:rPr>
          <w:rFonts w:ascii="Traditional Arabic" w:hAnsi="Traditional Arabic" w:cs="Traditional Arabic"/>
          <w:color w:val="000000" w:themeColor="text1"/>
          <w:sz w:val="22"/>
          <w:szCs w:val="22"/>
          <w:rtl/>
          <w:lang w:val="fr-FR"/>
        </w:rPr>
        <w:t> </w:t>
      </w:r>
      <w:r w:rsidRPr="00185CBF">
        <w:rPr>
          <w:rFonts w:ascii="Traditional Arabic" w:hAnsi="Traditional Arabic" w:cs="Traditional Arabic"/>
          <w:color w:val="000000" w:themeColor="text1"/>
          <w:sz w:val="22"/>
          <w:szCs w:val="22"/>
          <w:lang w:bidi="ar-DZ"/>
        </w:rPr>
        <w:t>,</w:t>
      </w:r>
      <w:r w:rsidRPr="00185CBF">
        <w:rPr>
          <w:rFonts w:ascii="Traditional Arabic" w:hAnsi="Traditional Arabic" w:cs="Traditional Arabic"/>
          <w:color w:val="000000" w:themeColor="text1"/>
          <w:sz w:val="22"/>
          <w:szCs w:val="22"/>
        </w:rPr>
        <w:t>168.</w:t>
      </w:r>
    </w:p>
  </w:footnote>
  <w:footnote w:id="8">
    <w:p w14:paraId="5EE6892B" w14:textId="17E83159" w:rsidR="003C4022" w:rsidRPr="00185CBF" w:rsidRDefault="003C4022" w:rsidP="003C4022">
      <w:pPr>
        <w:pStyle w:val="FootnoteText"/>
        <w:rPr>
          <w:rFonts w:ascii="Traditional Arabic" w:hAnsi="Traditional Arabic" w:cs="Traditional Arabic"/>
          <w:color w:val="000000" w:themeColor="text1"/>
          <w:sz w:val="22"/>
          <w:szCs w:val="22"/>
        </w:rPr>
      </w:pPr>
      <w:r w:rsidRPr="003C4022">
        <w:rPr>
          <w:rStyle w:val="FootnoteReference"/>
          <w:rFonts w:ascii="Traditional Arabic" w:hAnsi="Traditional Arabic" w:cs="Traditional Arabic"/>
          <w:color w:val="000000" w:themeColor="text1"/>
          <w:sz w:val="22"/>
          <w:szCs w:val="22"/>
        </w:rPr>
        <w:footnoteRef/>
      </w:r>
      <w:bookmarkStart w:id="1" w:name="_Hlk179016891"/>
      <w:r w:rsidRPr="003C4022">
        <w:rPr>
          <w:rFonts w:ascii="Traditional Arabic" w:hAnsi="Traditional Arabic" w:cs="Traditional Arabic"/>
          <w:color w:val="000000" w:themeColor="text1"/>
          <w:sz w:val="22"/>
          <w:szCs w:val="22"/>
        </w:rPr>
        <w:t>ibid</w:t>
      </w:r>
      <w:bookmarkEnd w:id="1"/>
      <w:r w:rsidRPr="00185CBF">
        <w:rPr>
          <w:rFonts w:ascii="Traditional Arabic" w:hAnsi="Traditional Arabic" w:cs="Traditional Arabic"/>
          <w:color w:val="000000" w:themeColor="text1"/>
          <w:sz w:val="22"/>
          <w:szCs w:val="22"/>
        </w:rPr>
        <w:t>. P 169.</w:t>
      </w:r>
    </w:p>
  </w:footnote>
  <w:footnote w:id="9">
    <w:p w14:paraId="4D290F69" w14:textId="573E4690" w:rsidR="003C4022" w:rsidRPr="003C4022" w:rsidRDefault="003C4022" w:rsidP="003C4022">
      <w:pPr>
        <w:pStyle w:val="FootnoteText"/>
        <w:rPr>
          <w:rFonts w:ascii="Traditional Arabic" w:hAnsi="Traditional Arabic" w:cs="Traditional Arabic"/>
          <w:color w:val="000000" w:themeColor="text1"/>
          <w:sz w:val="22"/>
          <w:szCs w:val="22"/>
          <w:rtl/>
          <w:lang w:bidi="ar-EG"/>
        </w:rPr>
      </w:pPr>
      <w:r w:rsidRPr="003C4022">
        <w:rPr>
          <w:rStyle w:val="FootnoteReference"/>
          <w:rFonts w:ascii="Traditional Arabic" w:hAnsi="Traditional Arabic" w:cs="Traditional Arabic"/>
          <w:color w:val="000000" w:themeColor="text1"/>
          <w:sz w:val="22"/>
          <w:szCs w:val="22"/>
        </w:rPr>
        <w:footnoteRef/>
      </w:r>
      <w:r w:rsidRPr="00185CBF">
        <w:rPr>
          <w:rFonts w:ascii="Traditional Arabic" w:hAnsi="Traditional Arabic" w:cs="Traditional Arabic"/>
          <w:color w:val="000000" w:themeColor="text1"/>
          <w:sz w:val="22"/>
          <w:szCs w:val="22"/>
        </w:rPr>
        <w:t>Abha Chauhan</w:t>
      </w:r>
      <w:r w:rsidRPr="00185CBF">
        <w:rPr>
          <w:rFonts w:ascii="Traditional Arabic" w:hAnsi="Traditional Arabic" w:cs="Traditional Arabic"/>
          <w:color w:val="000000" w:themeColor="text1"/>
          <w:sz w:val="22"/>
          <w:szCs w:val="22"/>
          <w:lang w:bidi="ar-DZ"/>
        </w:rPr>
        <w:t xml:space="preserve">, </w:t>
      </w:r>
      <w:r w:rsidRPr="00185CBF">
        <w:rPr>
          <w:rFonts w:ascii="Traditional Arabic" w:hAnsi="Traditional Arabic" w:cs="Traditional Arabic"/>
          <w:color w:val="000000" w:themeColor="text1"/>
          <w:sz w:val="22"/>
          <w:szCs w:val="22"/>
          <w:shd w:val="clear" w:color="auto" w:fill="FFFFFF"/>
        </w:rPr>
        <w:t>Op. Cit,</w:t>
      </w:r>
      <w:r w:rsidRPr="00185CBF">
        <w:rPr>
          <w:rFonts w:ascii="Traditional Arabic" w:hAnsi="Traditional Arabic" w:cs="Traditional Arabic"/>
          <w:color w:val="000000" w:themeColor="text1"/>
          <w:sz w:val="22"/>
          <w:szCs w:val="22"/>
        </w:rPr>
        <w:t xml:space="preserve"> </w:t>
      </w:r>
      <w:r w:rsidRPr="003C4022">
        <w:rPr>
          <w:rFonts w:ascii="Traditional Arabic" w:hAnsi="Traditional Arabic" w:cs="Traditional Arabic"/>
          <w:color w:val="000000" w:themeColor="text1"/>
          <w:sz w:val="22"/>
          <w:szCs w:val="22"/>
          <w:rtl/>
          <w:lang w:bidi="ar-EG"/>
        </w:rPr>
        <w:t>169</w:t>
      </w:r>
    </w:p>
  </w:footnote>
  <w:footnote w:id="10">
    <w:p w14:paraId="3B41125A" w14:textId="070AAC22" w:rsidR="003C4022" w:rsidRPr="003C4022" w:rsidRDefault="003C4022" w:rsidP="003C4022">
      <w:pPr>
        <w:pStyle w:val="FootnoteText"/>
        <w:rPr>
          <w:rFonts w:ascii="Traditional Arabic" w:hAnsi="Traditional Arabic" w:cs="Traditional Arabic"/>
          <w:color w:val="000000" w:themeColor="text1"/>
          <w:sz w:val="22"/>
          <w:szCs w:val="22"/>
          <w:rtl/>
          <w:lang w:bidi="ar-EG"/>
        </w:rPr>
      </w:pPr>
      <w:r w:rsidRPr="003C4022">
        <w:rPr>
          <w:rStyle w:val="FootnoteReference"/>
          <w:rFonts w:ascii="Traditional Arabic" w:hAnsi="Traditional Arabic" w:cs="Traditional Arabic"/>
          <w:color w:val="000000" w:themeColor="text1"/>
          <w:sz w:val="22"/>
          <w:szCs w:val="22"/>
        </w:rPr>
        <w:footnoteRef/>
      </w:r>
      <w:r w:rsidRPr="00185CBF">
        <w:rPr>
          <w:rFonts w:ascii="Traditional Arabic" w:hAnsi="Traditional Arabic" w:cs="Traditional Arabic"/>
          <w:color w:val="000000" w:themeColor="text1"/>
          <w:sz w:val="22"/>
          <w:szCs w:val="22"/>
        </w:rPr>
        <w:t xml:space="preserve"> Abha </w:t>
      </w:r>
      <w:proofErr w:type="spellStart"/>
      <w:r w:rsidRPr="00185CBF">
        <w:rPr>
          <w:rFonts w:ascii="Traditional Arabic" w:hAnsi="Traditional Arabic" w:cs="Traditional Arabic"/>
          <w:color w:val="000000" w:themeColor="text1"/>
          <w:sz w:val="22"/>
          <w:szCs w:val="22"/>
        </w:rPr>
        <w:t>Chauha</w:t>
      </w:r>
      <w:proofErr w:type="spellEnd"/>
      <w:r w:rsidRPr="00185CBF">
        <w:rPr>
          <w:rFonts w:ascii="Traditional Arabic" w:hAnsi="Traditional Arabic" w:cs="Traditional Arabic"/>
          <w:color w:val="000000" w:themeColor="text1"/>
          <w:sz w:val="22"/>
          <w:szCs w:val="22"/>
        </w:rPr>
        <w:t>,</w:t>
      </w:r>
      <w:r w:rsidRPr="003C4022">
        <w:rPr>
          <w:rFonts w:ascii="Traditional Arabic" w:hAnsi="Traditional Arabic" w:cs="Traditional Arabic"/>
          <w:color w:val="000000" w:themeColor="text1"/>
          <w:sz w:val="22"/>
          <w:szCs w:val="22"/>
          <w:rtl/>
          <w:lang w:bidi="ar-EG"/>
        </w:rPr>
        <w:t xml:space="preserve"> </w:t>
      </w:r>
      <w:r w:rsidRPr="00185CBF">
        <w:rPr>
          <w:rFonts w:ascii="Traditional Arabic" w:hAnsi="Traditional Arabic" w:cs="Traditional Arabic"/>
          <w:color w:val="000000" w:themeColor="text1"/>
          <w:sz w:val="22"/>
          <w:szCs w:val="22"/>
          <w:shd w:val="clear" w:color="auto" w:fill="FFFFFF"/>
        </w:rPr>
        <w:t xml:space="preserve">Op. </w:t>
      </w:r>
      <w:r w:rsidRPr="003C4022">
        <w:rPr>
          <w:rFonts w:ascii="Traditional Arabic" w:hAnsi="Traditional Arabic" w:cs="Traditional Arabic"/>
          <w:color w:val="000000" w:themeColor="text1"/>
          <w:sz w:val="22"/>
          <w:szCs w:val="22"/>
          <w:shd w:val="clear" w:color="auto" w:fill="FFFFFF"/>
        </w:rPr>
        <w:t>Cit</w:t>
      </w:r>
      <w:r w:rsidRPr="003C4022">
        <w:rPr>
          <w:rFonts w:ascii="Traditional Arabic" w:hAnsi="Traditional Arabic" w:cs="Traditional Arabic"/>
          <w:color w:val="000000" w:themeColor="text1"/>
          <w:sz w:val="22"/>
          <w:szCs w:val="22"/>
          <w:lang w:bidi="ar-EG"/>
        </w:rPr>
        <w:t xml:space="preserve">, P </w:t>
      </w:r>
      <w:r w:rsidRPr="003C4022">
        <w:rPr>
          <w:rFonts w:ascii="Traditional Arabic" w:hAnsi="Traditional Arabic" w:cs="Traditional Arabic"/>
          <w:color w:val="000000" w:themeColor="text1"/>
          <w:sz w:val="22"/>
          <w:szCs w:val="22"/>
          <w:rtl/>
          <w:lang w:bidi="ar-EG"/>
        </w:rPr>
        <w:t>172</w:t>
      </w:r>
    </w:p>
  </w:footnote>
  <w:footnote w:id="11">
    <w:p w14:paraId="4A69CD0D" w14:textId="7B23C18C" w:rsidR="003C4022" w:rsidRPr="00563823" w:rsidRDefault="003C4022" w:rsidP="003C4022">
      <w:pPr>
        <w:pStyle w:val="FootnoteText"/>
        <w:rPr>
          <w:rFonts w:ascii="Traditional Arabic" w:hAnsi="Traditional Arabic" w:cs="Traditional Arabic"/>
          <w:color w:val="000000" w:themeColor="text1"/>
          <w:sz w:val="22"/>
          <w:szCs w:val="22"/>
          <w:lang w:val="fr-FR"/>
        </w:rPr>
      </w:pPr>
      <w:r w:rsidRPr="003C4022">
        <w:rPr>
          <w:rStyle w:val="FootnoteReference"/>
          <w:rFonts w:ascii="Traditional Arabic" w:hAnsi="Traditional Arabic" w:cs="Traditional Arabic"/>
          <w:color w:val="000000" w:themeColor="text1"/>
          <w:sz w:val="22"/>
          <w:szCs w:val="22"/>
        </w:rPr>
        <w:footnoteRef/>
      </w:r>
      <w:r w:rsidRPr="00563823">
        <w:rPr>
          <w:rFonts w:ascii="Traditional Arabic" w:hAnsi="Traditional Arabic" w:cs="Traditional Arabic"/>
          <w:color w:val="000000" w:themeColor="text1"/>
          <w:sz w:val="22"/>
          <w:szCs w:val="22"/>
          <w:lang w:val="fr-FR"/>
        </w:rPr>
        <w:t xml:space="preserve"> </w:t>
      </w:r>
      <w:hyperlink r:id="rId1" w:history="1">
        <w:r w:rsidR="00563823" w:rsidRPr="00563823">
          <w:rPr>
            <w:rStyle w:val="Hyperlink"/>
            <w:rFonts w:ascii="Traditional Arabic" w:hAnsi="Traditional Arabic" w:cs="Traditional Arabic"/>
            <w:sz w:val="22"/>
            <w:szCs w:val="22"/>
            <w:lang w:val="fr-FR"/>
          </w:rPr>
          <w:t>https://upscsociology.in/social-mobility-types-forms-and-theoretical-perspectives/</w:t>
        </w:r>
      </w:hyperlink>
      <w:r w:rsidR="00563823">
        <w:rPr>
          <w:rFonts w:ascii="Traditional Arabic" w:hAnsi="Traditional Arabic" w:cs="Traditional Arabic" w:hint="cs"/>
          <w:color w:val="000000" w:themeColor="text1"/>
          <w:sz w:val="22"/>
          <w:szCs w:val="22"/>
          <w:rtl/>
        </w:rPr>
        <w:t xml:space="preserve">  </w:t>
      </w:r>
      <w:r w:rsidR="00563823">
        <w:rPr>
          <w:rFonts w:ascii="Traditional Arabic" w:hAnsi="Traditional Arabic" w:cs="Traditional Arabic"/>
          <w:color w:val="000000" w:themeColor="text1"/>
          <w:sz w:val="22"/>
          <w:szCs w:val="22"/>
          <w:lang w:val="fr-FR"/>
        </w:rPr>
        <w:t>24/10/2023, 11 :00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607E8" w14:textId="2693CA97" w:rsidR="00732017" w:rsidRPr="00732017" w:rsidRDefault="00732017">
    <w:pPr>
      <w:pStyle w:val="Header"/>
      <w:rPr>
        <w:rFonts w:ascii="Traditional Arabic" w:hAnsi="Traditional Arabic" w:cs="Traditional Arabic"/>
        <w:b/>
        <w:bCs/>
        <w:sz w:val="36"/>
        <w:szCs w:val="36"/>
        <w:rtl/>
        <w:lang w:val="fr-FR" w:bidi="ar-DZ"/>
      </w:rPr>
    </w:pPr>
    <w:r w:rsidRPr="00732017">
      <w:rPr>
        <w:rFonts w:ascii="Traditional Arabic" w:hAnsi="Traditional Arabic" w:cs="Traditional Arabic"/>
        <w:b/>
        <w:bCs/>
        <w:sz w:val="36"/>
        <w:szCs w:val="36"/>
        <w:rtl/>
        <w:lang w:val="fr-FR" w:bidi="ar-EG"/>
      </w:rPr>
      <w:t>الأستاذة: بوشلاغم حنان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C286A"/>
    <w:multiLevelType w:val="hybridMultilevel"/>
    <w:tmpl w:val="957E8F4C"/>
    <w:lvl w:ilvl="0" w:tplc="D7626F4E">
      <w:start w:val="1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03514"/>
    <w:multiLevelType w:val="hybridMultilevel"/>
    <w:tmpl w:val="E508EE78"/>
    <w:lvl w:ilvl="0" w:tplc="2A08D57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37BB4"/>
    <w:multiLevelType w:val="hybridMultilevel"/>
    <w:tmpl w:val="CD0282B4"/>
    <w:lvl w:ilvl="0" w:tplc="4E86C798">
      <w:start w:val="1"/>
      <w:numFmt w:val="bullet"/>
      <w:lvlText w:val=""/>
      <w:lvlJc w:val="left"/>
      <w:pPr>
        <w:ind w:left="1080" w:hanging="360"/>
      </w:pPr>
      <w:rPr>
        <w:rFonts w:ascii="Symbol" w:eastAsia="Calibri" w:hAnsi="Symbol" w:cstheme="majorBidi" w:hint="default"/>
        <w:b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343971949">
    <w:abstractNumId w:val="2"/>
  </w:num>
  <w:num w:numId="2" w16cid:durableId="29958138">
    <w:abstractNumId w:val="0"/>
  </w:num>
  <w:num w:numId="3" w16cid:durableId="236402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022"/>
    <w:rsid w:val="00185CBF"/>
    <w:rsid w:val="00260C6E"/>
    <w:rsid w:val="003C4022"/>
    <w:rsid w:val="00563823"/>
    <w:rsid w:val="00701E80"/>
    <w:rsid w:val="00732017"/>
    <w:rsid w:val="007D5B54"/>
    <w:rsid w:val="00887222"/>
    <w:rsid w:val="008F13DB"/>
    <w:rsid w:val="00AA230A"/>
    <w:rsid w:val="00BB56FC"/>
    <w:rsid w:val="00CF33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5F719"/>
  <w15:chartTrackingRefBased/>
  <w15:docId w15:val="{4127FC72-7639-475B-96E2-DE39AE8AE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0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C40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4022"/>
    <w:rPr>
      <w:sz w:val="20"/>
      <w:szCs w:val="20"/>
    </w:rPr>
  </w:style>
  <w:style w:type="character" w:styleId="FootnoteReference">
    <w:name w:val="footnote reference"/>
    <w:basedOn w:val="DefaultParagraphFont"/>
    <w:semiHidden/>
    <w:unhideWhenUsed/>
    <w:rsid w:val="003C4022"/>
    <w:rPr>
      <w:vertAlign w:val="superscript"/>
    </w:rPr>
  </w:style>
  <w:style w:type="character" w:styleId="Hyperlink">
    <w:name w:val="Hyperlink"/>
    <w:basedOn w:val="DefaultParagraphFont"/>
    <w:uiPriority w:val="99"/>
    <w:unhideWhenUsed/>
    <w:rsid w:val="003C4022"/>
    <w:rPr>
      <w:color w:val="0563C1" w:themeColor="hyperlink"/>
      <w:u w:val="single"/>
    </w:rPr>
  </w:style>
  <w:style w:type="paragraph" w:customStyle="1" w:styleId="Normal1">
    <w:name w:val="Normal1"/>
    <w:rsid w:val="003C4022"/>
    <w:pPr>
      <w:spacing w:after="200" w:line="276" w:lineRule="auto"/>
    </w:pPr>
    <w:rPr>
      <w:rFonts w:ascii="Calibri" w:eastAsia="Calibri" w:hAnsi="Calibri" w:cs="Calibri"/>
      <w:color w:val="000000"/>
      <w:kern w:val="0"/>
      <w14:ligatures w14:val="none"/>
    </w:rPr>
  </w:style>
  <w:style w:type="paragraph" w:styleId="ListParagraph">
    <w:name w:val="List Paragraph"/>
    <w:basedOn w:val="Normal"/>
    <w:uiPriority w:val="34"/>
    <w:qFormat/>
    <w:rsid w:val="003C4022"/>
    <w:pPr>
      <w:ind w:left="720"/>
      <w:contextualSpacing/>
    </w:pPr>
  </w:style>
  <w:style w:type="character" w:styleId="Emphasis">
    <w:name w:val="Emphasis"/>
    <w:basedOn w:val="DefaultParagraphFont"/>
    <w:uiPriority w:val="20"/>
    <w:qFormat/>
    <w:rsid w:val="003C4022"/>
    <w:rPr>
      <w:i/>
      <w:iCs/>
    </w:rPr>
  </w:style>
  <w:style w:type="paragraph" w:styleId="Header">
    <w:name w:val="header"/>
    <w:basedOn w:val="Normal"/>
    <w:link w:val="HeaderChar"/>
    <w:uiPriority w:val="99"/>
    <w:unhideWhenUsed/>
    <w:rsid w:val="00732017"/>
    <w:pPr>
      <w:tabs>
        <w:tab w:val="center" w:pos="4320"/>
        <w:tab w:val="right" w:pos="8640"/>
      </w:tabs>
      <w:spacing w:after="0" w:line="240" w:lineRule="auto"/>
    </w:pPr>
  </w:style>
  <w:style w:type="character" w:customStyle="1" w:styleId="HeaderChar">
    <w:name w:val="Header Char"/>
    <w:basedOn w:val="DefaultParagraphFont"/>
    <w:link w:val="Header"/>
    <w:uiPriority w:val="99"/>
    <w:rsid w:val="00732017"/>
  </w:style>
  <w:style w:type="paragraph" w:styleId="Footer">
    <w:name w:val="footer"/>
    <w:basedOn w:val="Normal"/>
    <w:link w:val="FooterChar"/>
    <w:uiPriority w:val="99"/>
    <w:unhideWhenUsed/>
    <w:rsid w:val="00732017"/>
    <w:pPr>
      <w:tabs>
        <w:tab w:val="center" w:pos="4320"/>
        <w:tab w:val="right" w:pos="8640"/>
      </w:tabs>
      <w:spacing w:after="0" w:line="240" w:lineRule="auto"/>
    </w:pPr>
  </w:style>
  <w:style w:type="character" w:customStyle="1" w:styleId="FooterChar">
    <w:name w:val="Footer Char"/>
    <w:basedOn w:val="DefaultParagraphFont"/>
    <w:link w:val="Footer"/>
    <w:uiPriority w:val="99"/>
    <w:rsid w:val="00732017"/>
  </w:style>
  <w:style w:type="character" w:styleId="UnresolvedMention">
    <w:name w:val="Unresolved Mention"/>
    <w:basedOn w:val="DefaultParagraphFont"/>
    <w:uiPriority w:val="99"/>
    <w:semiHidden/>
    <w:unhideWhenUsed/>
    <w:rsid w:val="00563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upscsociology.in/social-mobility-types-forms-and-theoretical-perspectiv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F6664-D954-4EAA-8321-4BEC8CC4B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3016</Words>
  <Characters>17196</Characters>
  <Application>Microsoft Office Word</Application>
  <DocSecurity>0</DocSecurity>
  <Lines>143</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pc</cp:lastModifiedBy>
  <cp:revision>4</cp:revision>
  <cp:lastPrinted>2023-11-23T17:20:00Z</cp:lastPrinted>
  <dcterms:created xsi:type="dcterms:W3CDTF">2023-11-23T16:45:00Z</dcterms:created>
  <dcterms:modified xsi:type="dcterms:W3CDTF">2024-10-24T09:56:00Z</dcterms:modified>
</cp:coreProperties>
</file>