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D490D" w14:textId="195B8750" w:rsidR="003C4022" w:rsidRPr="00036565" w:rsidRDefault="003C4022" w:rsidP="00563823">
      <w:pPr>
        <w:pStyle w:val="ListParagraph"/>
        <w:bidi/>
        <w:spacing w:after="0" w:line="276" w:lineRule="auto"/>
        <w:ind w:left="0"/>
        <w:jc w:val="center"/>
        <w:rPr>
          <w:rFonts w:ascii="Traditional Arabic" w:hAnsi="Traditional Arabic" w:cs="Traditional Arabic"/>
          <w:b/>
          <w:bCs/>
          <w:sz w:val="32"/>
          <w:szCs w:val="32"/>
        </w:rPr>
      </w:pPr>
      <w:r w:rsidRPr="00036565">
        <w:rPr>
          <w:rFonts w:ascii="Traditional Arabic" w:hAnsi="Traditional Arabic" w:cs="Traditional Arabic"/>
          <w:b/>
          <w:bCs/>
          <w:sz w:val="32"/>
          <w:szCs w:val="32"/>
          <w:rtl/>
          <w:lang w:bidi="ar-EG"/>
        </w:rPr>
        <w:t xml:space="preserve">المحاضرة </w:t>
      </w:r>
      <w:r>
        <w:rPr>
          <w:rFonts w:ascii="Traditional Arabic" w:hAnsi="Traditional Arabic" w:cs="Traditional Arabic" w:hint="cs"/>
          <w:b/>
          <w:bCs/>
          <w:sz w:val="32"/>
          <w:szCs w:val="32"/>
          <w:rtl/>
          <w:lang w:bidi="ar-EG"/>
        </w:rPr>
        <w:t>الثالثة</w:t>
      </w:r>
      <w:r w:rsidRPr="00036565">
        <w:rPr>
          <w:rFonts w:ascii="Traditional Arabic" w:hAnsi="Traditional Arabic" w:cs="Traditional Arabic"/>
          <w:b/>
          <w:bCs/>
          <w:sz w:val="32"/>
          <w:szCs w:val="32"/>
          <w:rtl/>
          <w:lang w:bidi="ar-EG"/>
        </w:rPr>
        <w:t xml:space="preserve">: </w:t>
      </w:r>
      <w:r w:rsidRPr="00036565">
        <w:rPr>
          <w:rFonts w:ascii="Traditional Arabic" w:hAnsi="Traditional Arabic" w:cs="Traditional Arabic"/>
          <w:b/>
          <w:bCs/>
          <w:sz w:val="32"/>
          <w:szCs w:val="32"/>
          <w:rtl/>
        </w:rPr>
        <w:t xml:space="preserve">المجتمع والحراك </w:t>
      </w:r>
    </w:p>
    <w:p w14:paraId="2DA8425A" w14:textId="7DFFF412" w:rsidR="003C4022" w:rsidRPr="00036565" w:rsidRDefault="00563823" w:rsidP="00563823">
      <w:pPr>
        <w:pStyle w:val="ListParagraph"/>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hint="cs"/>
          <w:b/>
          <w:bCs/>
          <w:sz w:val="32"/>
          <w:szCs w:val="32"/>
          <w:rtl/>
          <w:lang w:bidi="ar-EG"/>
        </w:rPr>
        <w:t xml:space="preserve">أولا: </w:t>
      </w:r>
      <w:r w:rsidR="003C4022" w:rsidRPr="00036565">
        <w:rPr>
          <w:rFonts w:ascii="Traditional Arabic" w:hAnsi="Traditional Arabic" w:cs="Traditional Arabic"/>
          <w:b/>
          <w:bCs/>
          <w:sz w:val="32"/>
          <w:szCs w:val="32"/>
          <w:rtl/>
          <w:lang w:bidi="ar-EG"/>
        </w:rPr>
        <w:t>تعريف ا</w:t>
      </w:r>
      <w:r w:rsidR="003C4022" w:rsidRPr="00036565">
        <w:rPr>
          <w:rFonts w:ascii="Traditional Arabic" w:hAnsi="Traditional Arabic" w:cs="Traditional Arabic"/>
          <w:b/>
          <w:bCs/>
          <w:sz w:val="32"/>
          <w:szCs w:val="32"/>
          <w:rtl/>
        </w:rPr>
        <w:t>لمجتمع</w:t>
      </w:r>
    </w:p>
    <w:p w14:paraId="2B064D3D"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المجتمع عبارة عن مجموعة من الأفراد المنخرطين في تفاعل اجتماعي مستمر، أو مجموعة اجتماعية كبيرة تتقاسم نفس المنطقة</w:t>
      </w:r>
      <w:r w:rsidRPr="00036565">
        <w:rPr>
          <w:rFonts w:ascii="Traditional Arabic" w:hAnsi="Traditional Arabic" w:cs="Traditional Arabic"/>
          <w:sz w:val="32"/>
          <w:szCs w:val="32"/>
          <w:rtl/>
          <w:lang w:bidi="ar-EG"/>
        </w:rPr>
        <w:t>، و</w:t>
      </w:r>
      <w:r w:rsidRPr="00036565">
        <w:rPr>
          <w:rFonts w:ascii="Traditional Arabic" w:hAnsi="Traditional Arabic" w:cs="Traditional Arabic"/>
          <w:sz w:val="32"/>
          <w:szCs w:val="32"/>
          <w:rtl/>
        </w:rPr>
        <w:t>عادة ما يخضع أفراد المجتمع لنفس الهيئة الإدارية ونفس الثقافة. المجتمعات لديها معاييرها الخاصة فيما يتعلق بالسلوك.</w:t>
      </w:r>
    </w:p>
    <w:p w14:paraId="2BCDEF22"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تعتبر المجتمعات، بشكل ضمني أو معترف به، بعض التصرفات وأنماط السلوك مقبولة أو غير مقبولة. ويرى البعض أن المجتمع منتج إنساني له القدرة على تغيير منتجيه.</w:t>
      </w:r>
    </w:p>
    <w:p w14:paraId="165BBA41" w14:textId="4C0E1E3D" w:rsidR="003C4022" w:rsidRPr="00036565" w:rsidRDefault="00563823" w:rsidP="00563823">
      <w:pPr>
        <w:pStyle w:val="ListParagraph"/>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ثانيا: </w:t>
      </w:r>
      <w:r w:rsidR="003C4022" w:rsidRPr="00036565">
        <w:rPr>
          <w:rFonts w:ascii="Traditional Arabic" w:hAnsi="Traditional Arabic" w:cs="Traditional Arabic"/>
          <w:b/>
          <w:bCs/>
          <w:sz w:val="32"/>
          <w:szCs w:val="32"/>
          <w:rtl/>
        </w:rPr>
        <w:t>التصنيف الاجتماعي للمجتمعات</w:t>
      </w:r>
    </w:p>
    <w:p w14:paraId="58050D5A" w14:textId="228239D1"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هناك طرق مختلفة لتصنيف المجتمعات. وقد ميز جيرهارد لينسكي بين خمسة أنواع رئيسية من المجتمعات،</w:t>
      </w:r>
      <w:r w:rsidRPr="00036565">
        <w:rPr>
          <w:rStyle w:val="FootnoteReference"/>
          <w:rFonts w:ascii="Traditional Arabic" w:hAnsi="Traditional Arabic" w:cs="Traditional Arabic"/>
          <w:sz w:val="32"/>
          <w:szCs w:val="32"/>
          <w:rtl/>
        </w:rPr>
        <w:footnoteReference w:id="1"/>
      </w:r>
      <w:r w:rsidRPr="00036565">
        <w:rPr>
          <w:rFonts w:ascii="Traditional Arabic" w:hAnsi="Traditional Arabic" w:cs="Traditional Arabic"/>
          <w:sz w:val="32"/>
          <w:szCs w:val="32"/>
          <w:rtl/>
        </w:rPr>
        <w:t xml:space="preserve"> في حين ميز مورتون فرايد وإلمان سيرفيس بين ستة أنواع. يميل علماء الاجتماع المعاصرون إلى التمييز بين خمسة أنواع تختلف قليلاً عن تلك التي عند لينسكي تنقسم هذه الأنواع الخمسة إلى ثلاث فئات أوسع:</w:t>
      </w:r>
    </w:p>
    <w:p w14:paraId="54DE294F"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ما قبل الصناعة</w:t>
      </w:r>
    </w:p>
    <w:p w14:paraId="69E39FF3"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الصناعية</w:t>
      </w:r>
    </w:p>
    <w:p w14:paraId="5C7C2ED4"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ما بعد الصناعية.</w:t>
      </w:r>
    </w:p>
    <w:p w14:paraId="231D5708" w14:textId="77777777" w:rsidR="003C4022" w:rsidRPr="00036565" w:rsidRDefault="003C4022" w:rsidP="003C4022">
      <w:pPr>
        <w:bidi/>
        <w:spacing w:after="0" w:line="276" w:lineRule="auto"/>
        <w:jc w:val="both"/>
        <w:rPr>
          <w:rFonts w:ascii="Traditional Arabic" w:hAnsi="Traditional Arabic" w:cs="Traditional Arabic"/>
          <w:b/>
          <w:bCs/>
          <w:sz w:val="32"/>
          <w:szCs w:val="32"/>
        </w:rPr>
      </w:pPr>
      <w:r w:rsidRPr="00036565">
        <w:rPr>
          <w:rFonts w:ascii="Traditional Arabic" w:hAnsi="Traditional Arabic" w:cs="Traditional Arabic"/>
          <w:sz w:val="32"/>
          <w:szCs w:val="32"/>
          <w:rtl/>
        </w:rPr>
        <w:t>يمكن تقسيم مجتمعات ما قبل الصناعة إلى أربعة أنواع مختلفة</w:t>
      </w:r>
      <w:r w:rsidRPr="00036565">
        <w:rPr>
          <w:rFonts w:ascii="Traditional Arabic" w:hAnsi="Traditional Arabic" w:cs="Traditional Arabic"/>
          <w:b/>
          <w:bCs/>
          <w:sz w:val="32"/>
          <w:szCs w:val="32"/>
          <w:rtl/>
        </w:rPr>
        <w:t>:</w:t>
      </w:r>
    </w:p>
    <w:p w14:paraId="37A0837B"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مجتمعات الصيد والجمع</w:t>
      </w:r>
    </w:p>
    <w:p w14:paraId="23E0DAA8"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المجتمعات الرعوية</w:t>
      </w:r>
    </w:p>
    <w:p w14:paraId="043111C3"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 xml:space="preserve">المجتمعات البستانية </w:t>
      </w:r>
    </w:p>
    <w:p w14:paraId="69831830" w14:textId="77777777" w:rsidR="003C4022" w:rsidRPr="00036565" w:rsidRDefault="003C4022" w:rsidP="003C4022">
      <w:pPr>
        <w:pStyle w:val="ListParagraph"/>
        <w:numPr>
          <w:ilvl w:val="0"/>
          <w:numId w:val="1"/>
        </w:numPr>
        <w:bidi/>
        <w:spacing w:after="0" w:line="276" w:lineRule="auto"/>
        <w:ind w:left="0"/>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rPr>
        <w:t>المجتمعات الزراعية. يمكننا الآن تحديد كل نوع من المجتمع على حدة.</w:t>
      </w:r>
    </w:p>
    <w:p w14:paraId="6543EC09"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أنواع المجتمعات مع الأمثلة</w:t>
      </w:r>
    </w:p>
    <w:p w14:paraId="79C3061C" w14:textId="572152A3" w:rsidR="003C4022" w:rsidRPr="00036565" w:rsidRDefault="003C4022"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w:t>
      </w:r>
      <w:r w:rsidRPr="00036565">
        <w:rPr>
          <w:rFonts w:ascii="Traditional Arabic" w:hAnsi="Traditional Arabic" w:cs="Traditional Arabic"/>
          <w:b/>
          <w:bCs/>
          <w:sz w:val="32"/>
          <w:szCs w:val="32"/>
          <w:rtl/>
        </w:rPr>
        <w:t xml:space="preserve"> مجتمعات الصيد والجمع </w:t>
      </w:r>
      <w:r w:rsidRPr="00036565">
        <w:rPr>
          <w:rFonts w:ascii="Traditional Arabic" w:hAnsi="Traditional Arabic" w:cs="Traditional Arabic"/>
          <w:b/>
          <w:bCs/>
          <w:sz w:val="32"/>
          <w:szCs w:val="32"/>
          <w:lang w:val="fr-FR"/>
        </w:rPr>
        <w:t>)</w:t>
      </w:r>
      <w:r w:rsidRPr="00036565">
        <w:rPr>
          <w:rFonts w:ascii="Traditional Arabic" w:hAnsi="Traditional Arabic" w:cs="Traditional Arabic"/>
          <w:b/>
          <w:bCs/>
          <w:sz w:val="32"/>
          <w:szCs w:val="32"/>
          <w:rtl/>
        </w:rPr>
        <w:t>مجتمع ما قبل الصناعة</w:t>
      </w:r>
      <w:r w:rsidRPr="00036565">
        <w:rPr>
          <w:rFonts w:ascii="Traditional Arabic" w:hAnsi="Traditional Arabic" w:cs="Traditional Arabic"/>
          <w:b/>
          <w:bCs/>
          <w:sz w:val="32"/>
          <w:szCs w:val="32"/>
        </w:rPr>
        <w:t>(</w:t>
      </w:r>
    </w:p>
    <w:p w14:paraId="49CE4F24" w14:textId="4B7CF8ED"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lastRenderedPageBreak/>
        <w:t>كانت مجتمعات الصيد وجمع الثمار هي القاعدة. وكانت هذه المجتمعات تعتمد على القرابة أو القبائل وتعتمد بشكل كبير على البيئة.</w:t>
      </w:r>
      <w:r w:rsidRPr="00036565">
        <w:rPr>
          <w:rFonts w:ascii="Traditional Arabic" w:hAnsi="Traditional Arabic" w:cs="Traditional Arabic"/>
          <w:sz w:val="32"/>
          <w:szCs w:val="32"/>
        </w:rPr>
        <w:t xml:space="preserve"> </w:t>
      </w:r>
      <w:r w:rsidRPr="00036565">
        <w:rPr>
          <w:rFonts w:ascii="Traditional Arabic" w:hAnsi="Traditional Arabic" w:cs="Traditional Arabic"/>
          <w:sz w:val="32"/>
          <w:szCs w:val="32"/>
          <w:rtl/>
        </w:rPr>
        <w:t>كان الصيادون وجامعو الثمار يصطادون الحيوانات البرية ويجمعون النباتات غير المزروعة من أجل الغذاء. وبما أن هذه المجتمعات كانت تعتمد على البيئة في غذائها، فقد اضطرت في كثير من الأحيان إلى الانتقال إلى مناطق جديدة. لذلك كانت مجتمعات الصيد والجمع من البدو الرحل. ولم يبنوا مستوطنات دائمة.</w:t>
      </w:r>
    </w:p>
    <w:p w14:paraId="098548EE" w14:textId="594B905A" w:rsidR="003C4022"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يبلغ متوسط حجم مجموعة الصيد وجمع الثمار ما بين 15 إلى 50 شخصًا فقط ولم يبق في الوجود اليوم سوى بضع مئات من مجتمعات الصيد وجمع الثمار.</w:t>
      </w:r>
      <w:r w:rsidRPr="00036565">
        <w:rPr>
          <w:rFonts w:ascii="Traditional Arabic" w:hAnsi="Traditional Arabic" w:cs="Traditional Arabic"/>
          <w:sz w:val="32"/>
          <w:szCs w:val="32"/>
        </w:rPr>
        <w:t xml:space="preserve"> </w:t>
      </w:r>
      <w:r w:rsidRPr="00036565">
        <w:rPr>
          <w:rFonts w:ascii="Traditional Arabic" w:hAnsi="Traditional Arabic" w:cs="Traditional Arabic"/>
          <w:sz w:val="32"/>
          <w:szCs w:val="32"/>
          <w:rtl/>
        </w:rPr>
        <w:t>وتميل هذه المجتمعات إلى أن تكون ديمقراطية نسبيا، بمعنى أن القرارات يتم التوصل إليها عموما من خلال الاتفاق المتبادل. القيادة غالبا ما تكون شخصية وتقتصر على حالات خاصة في المجتمعات القبلية ورئيس القبيلة هو الشخص الأكثر نفوذا</w:t>
      </w:r>
      <w:r>
        <w:rPr>
          <w:rFonts w:ascii="Traditional Arabic" w:hAnsi="Traditional Arabic" w:cs="Traditional Arabic"/>
          <w:sz w:val="32"/>
          <w:szCs w:val="32"/>
        </w:rPr>
        <w:t>.</w:t>
      </w:r>
    </w:p>
    <w:p w14:paraId="5A64D544" w14:textId="7BD69F78" w:rsidR="003C4022" w:rsidRPr="00036565" w:rsidRDefault="003C4022" w:rsidP="00563823">
      <w:pPr>
        <w:bidi/>
        <w:spacing w:after="0" w:line="276" w:lineRule="auto"/>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tl/>
          <w:lang w:bidi="ar-EG"/>
        </w:rPr>
        <w:t>و</w:t>
      </w:r>
      <w:r w:rsidRPr="00036565">
        <w:rPr>
          <w:rFonts w:ascii="Traditional Arabic" w:hAnsi="Traditional Arabic" w:cs="Traditional Arabic"/>
          <w:b/>
          <w:bCs/>
          <w:sz w:val="32"/>
          <w:szCs w:val="32"/>
          <w:rtl/>
        </w:rPr>
        <w:t>من أمثلة مجتمعات الصيد وجمع الثمار ما يلي:</w:t>
      </w:r>
      <w:r w:rsidR="00563823">
        <w:rPr>
          <w:rFonts w:ascii="Traditional Arabic" w:hAnsi="Traditional Arabic" w:cs="Traditional Arabic" w:hint="cs"/>
          <w:b/>
          <w:bCs/>
          <w:sz w:val="32"/>
          <w:szCs w:val="32"/>
          <w:rtl/>
        </w:rPr>
        <w:t xml:space="preserve"> ا</w:t>
      </w:r>
      <w:r w:rsidRPr="00036565">
        <w:rPr>
          <w:rFonts w:ascii="Traditional Arabic" w:hAnsi="Traditional Arabic" w:cs="Traditional Arabic"/>
          <w:b/>
          <w:bCs/>
          <w:sz w:val="32"/>
          <w:szCs w:val="32"/>
          <w:rtl/>
        </w:rPr>
        <w:t>لعديد من مجتمعات السكان الأصليين الأستراليين قبل عام 1788، وسكان جزر مضيق توريس قبل عام 1788، وبامبوتي في جمهورية الكونغو الديمقراطية.</w:t>
      </w:r>
      <w:r w:rsidRPr="00036565">
        <w:rPr>
          <w:rStyle w:val="FootnoteReference"/>
          <w:rFonts w:ascii="Traditional Arabic" w:hAnsi="Traditional Arabic" w:cs="Traditional Arabic"/>
          <w:sz w:val="32"/>
          <w:szCs w:val="32"/>
          <w:rtl/>
        </w:rPr>
        <w:footnoteReference w:id="2"/>
      </w:r>
      <w:r w:rsidRPr="00036565">
        <w:rPr>
          <w:rFonts w:ascii="Traditional Arabic" w:hAnsi="Traditional Arabic" w:cs="Traditional Arabic"/>
          <w:sz w:val="32"/>
          <w:szCs w:val="32"/>
          <w:rtl/>
        </w:rPr>
        <w:t xml:space="preserve">. </w:t>
      </w:r>
    </w:p>
    <w:p w14:paraId="695678BA" w14:textId="10048EA0" w:rsidR="003C4022" w:rsidRPr="00036565" w:rsidRDefault="003C4022"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b/>
          <w:bCs/>
          <w:sz w:val="32"/>
          <w:szCs w:val="32"/>
        </w:rPr>
        <w:t>*</w:t>
      </w:r>
      <w:r w:rsidRPr="00036565">
        <w:rPr>
          <w:rFonts w:ascii="Traditional Arabic" w:hAnsi="Traditional Arabic" w:cs="Traditional Arabic"/>
          <w:b/>
          <w:bCs/>
          <w:sz w:val="32"/>
          <w:szCs w:val="32"/>
          <w:rtl/>
        </w:rPr>
        <w:t>المجتمعات الرعوي</w:t>
      </w:r>
      <w:r w:rsidR="00563823">
        <w:rPr>
          <w:rFonts w:ascii="Traditional Arabic" w:hAnsi="Traditional Arabic" w:cs="Traditional Arabic" w:hint="cs"/>
          <w:b/>
          <w:bCs/>
          <w:sz w:val="32"/>
          <w:szCs w:val="32"/>
          <w:rtl/>
        </w:rPr>
        <w:t>ة</w:t>
      </w:r>
      <w:r w:rsidRPr="00036565">
        <w:rPr>
          <w:rFonts w:ascii="Traditional Arabic" w:hAnsi="Traditional Arabic" w:cs="Traditional Arabic"/>
          <w:b/>
          <w:bCs/>
          <w:sz w:val="32"/>
          <w:szCs w:val="32"/>
          <w:rtl/>
          <w:lang w:bidi="ar-DZ"/>
        </w:rPr>
        <w:t xml:space="preserve"> </w:t>
      </w:r>
      <w:r w:rsidRPr="00036565">
        <w:rPr>
          <w:rFonts w:ascii="Traditional Arabic" w:hAnsi="Traditional Arabic" w:cs="Traditional Arabic"/>
          <w:b/>
          <w:bCs/>
          <w:sz w:val="32"/>
          <w:szCs w:val="32"/>
          <w:rtl/>
          <w:lang w:val="fr-FR" w:bidi="ar-DZ"/>
        </w:rPr>
        <w:t>(</w:t>
      </w:r>
      <w:r w:rsidRPr="00036565">
        <w:rPr>
          <w:rFonts w:ascii="Traditional Arabic" w:hAnsi="Traditional Arabic" w:cs="Traditional Arabic"/>
          <w:b/>
          <w:bCs/>
          <w:sz w:val="32"/>
          <w:szCs w:val="32"/>
          <w:rtl/>
        </w:rPr>
        <w:t>مجتمع ما قبل الصناعة)</w:t>
      </w:r>
    </w:p>
    <w:p w14:paraId="35626E68"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المجتمع الرعوي هو نوع من مجتمع ما قبل الصناعة الذي يعتمد أسلوب حياته على الرعي (أي تدجين الحيوانات).</w:t>
      </w:r>
    </w:p>
    <w:p w14:paraId="031F983A" w14:textId="2925D790" w:rsidR="003C4022" w:rsidRPr="00036565" w:rsidRDefault="003C4022" w:rsidP="00563823">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نظرًا لأن الإمدادات الغذائية للمجتمعات الرعوية أكثر موثوقية بكثير، فإنها تميل إلى أن يكون عدد سكانها أكبر بكثير مما يمكن أن تدعمه ثقافة الصيد وجمع الثمار.</w:t>
      </w:r>
      <w:r w:rsidR="00563823">
        <w:rPr>
          <w:rFonts w:ascii="Traditional Arabic" w:hAnsi="Traditional Arabic" w:cs="Traditional Arabic" w:hint="cs"/>
          <w:sz w:val="32"/>
          <w:szCs w:val="32"/>
          <w:rtl/>
        </w:rPr>
        <w:t xml:space="preserve"> </w:t>
      </w:r>
      <w:r w:rsidRPr="00036565">
        <w:rPr>
          <w:rFonts w:ascii="Traditional Arabic" w:hAnsi="Traditional Arabic" w:cs="Traditional Arabic"/>
          <w:sz w:val="32"/>
          <w:szCs w:val="32"/>
          <w:rtl/>
        </w:rPr>
        <w:t>عادة ما تكون المجتمعات الرعوية، مثل مجتمعات الصيد وجمع الثمار، بدوية: فهي لا تبني مستوطنات دائمة مثل القرى. وذلك لأن الرعاة يجب أن يأخذوا قطعانهم باستمرار إلى أراضي الرعي الجديدة.</w:t>
      </w:r>
      <w:r w:rsidR="00563823">
        <w:rPr>
          <w:rFonts w:ascii="Traditional Arabic" w:hAnsi="Traditional Arabic" w:cs="Traditional Arabic" w:hint="cs"/>
          <w:sz w:val="32"/>
          <w:szCs w:val="32"/>
          <w:rtl/>
        </w:rPr>
        <w:t xml:space="preserve"> </w:t>
      </w:r>
      <w:r w:rsidRPr="00036565">
        <w:rPr>
          <w:rFonts w:ascii="Traditional Arabic" w:hAnsi="Traditional Arabic" w:cs="Traditional Arabic"/>
          <w:sz w:val="32"/>
          <w:szCs w:val="32"/>
          <w:rtl/>
        </w:rPr>
        <w:t>وبالتالي، تتكون المصنوعات الثقافية لهذه المجتمعات من عناصر يسهل نقلها مثل الخيام والسجاد المنسوج والمجوهرات وما إلى ذلك.</w:t>
      </w:r>
    </w:p>
    <w:p w14:paraId="6E1F9400" w14:textId="1A6264C2"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ظهرت المجتمعات الرعوية الأولى عندما بدأ البشر، في ترويض وتربية الحيوانات لتنمية نباتاتهم وزراعتها. وجدت المجتمعات الرعوية طريقة أكثر استدامة للعيش لأنها تمكنت من تربية الماشية من أجل الغذاء والملابس والنقل.</w:t>
      </w:r>
    </w:p>
    <w:p w14:paraId="4C7DC747"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lastRenderedPageBreak/>
        <w:t>هذا سمح لهم بإنشاء فائض من البضائع. وهذا أيضًا هو الوقت الذي ظهرت فيه المهن المتخصصة والتجارة المنهجية لأول مرة. ومع مرور الوقت، ظهرت زعامات قبلية وراثية، وهي البنية الحكومية النموذجية للمجتمعات الرعوية. هذا ولا تزال العديد من المجتمعات الرعوية موجودة حتى اليوم، خاصة في شمال أفريقيا، وأفريقيا جنوب الصحراء الكبرى، وجنوب آسيا. تشمل الأمثلة من أفريقيا ما يلي: شعب العفار، الشعب البدوي، شعب البجا، شعب تيغري. وفي جنوب آسيا، تتضمن بعض الأمثلة ما يلي: شعب أهير، شعب بوتيا، وشعب كورما.</w:t>
      </w:r>
    </w:p>
    <w:p w14:paraId="1052C257" w14:textId="2A6D4656" w:rsidR="003C4022" w:rsidRPr="00036565" w:rsidRDefault="003C4022"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b/>
          <w:bCs/>
          <w:sz w:val="32"/>
          <w:szCs w:val="32"/>
        </w:rPr>
        <w:t>*</w:t>
      </w:r>
      <w:r w:rsidRPr="00036565">
        <w:rPr>
          <w:rFonts w:ascii="Traditional Arabic" w:hAnsi="Traditional Arabic" w:cs="Traditional Arabic"/>
          <w:b/>
          <w:bCs/>
          <w:sz w:val="32"/>
          <w:szCs w:val="32"/>
          <w:rtl/>
        </w:rPr>
        <w:t xml:space="preserve">الجمعيات البستانية </w:t>
      </w:r>
      <w:proofErr w:type="gramStart"/>
      <w:r w:rsidRPr="00036565">
        <w:rPr>
          <w:rFonts w:ascii="Traditional Arabic" w:hAnsi="Traditional Arabic" w:cs="Traditional Arabic"/>
          <w:b/>
          <w:bCs/>
          <w:sz w:val="32"/>
          <w:szCs w:val="32"/>
          <w:rtl/>
        </w:rPr>
        <w:t>( مجتمع</w:t>
      </w:r>
      <w:proofErr w:type="gramEnd"/>
      <w:r w:rsidRPr="00036565">
        <w:rPr>
          <w:rFonts w:ascii="Traditional Arabic" w:hAnsi="Traditional Arabic" w:cs="Traditional Arabic"/>
          <w:b/>
          <w:bCs/>
          <w:sz w:val="32"/>
          <w:szCs w:val="32"/>
          <w:rtl/>
        </w:rPr>
        <w:t xml:space="preserve"> ما قبل الصناعة)</w:t>
      </w:r>
    </w:p>
    <w:p w14:paraId="51F64B63" w14:textId="77777777" w:rsidR="003C4022" w:rsidRPr="00036565" w:rsidRDefault="003C4022" w:rsidP="003C4022">
      <w:pPr>
        <w:bidi/>
        <w:spacing w:after="0" w:line="276" w:lineRule="auto"/>
        <w:jc w:val="both"/>
        <w:rPr>
          <w:rFonts w:ascii="Traditional Arabic" w:hAnsi="Traditional Arabic" w:cs="Traditional Arabic"/>
          <w:b/>
          <w:bCs/>
          <w:sz w:val="32"/>
          <w:szCs w:val="32"/>
        </w:rPr>
      </w:pPr>
      <w:r w:rsidRPr="00036565">
        <w:rPr>
          <w:rFonts w:ascii="Traditional Arabic" w:hAnsi="Traditional Arabic" w:cs="Traditional Arabic"/>
          <w:sz w:val="32"/>
          <w:szCs w:val="32"/>
          <w:rtl/>
        </w:rPr>
        <w:t>في نفس الوقت تقريبًا الذي ظهرت فيه المجتمعات الرعوية، ظهر نوع آخر من المجتمع: المجتمع البستاني. لقد كان يعتمد على القدرة المطورة حديثًا على زراعة النباتات وزراعتها. يستخدم البستانيون العمل البشري وأدوات بسيطة لزراعة الأرض. وعندما تصبح قطعة أرض جرداء، تنتقل هذه المجتمعات إلى قطع أراضي جديدة. وقد يعودون إلى الحبكة الأصلية بعد سنوات ويكررون العملية. هذا النوع من تناوب قطع الأراضي هو ما يسمح للمجتمعات البستانية بالبقاء في منطقة واحدة لفترة طويلة إلى حد ما. ولهذا السبب تمكنوا من بناء قرى دائمة، على عكس مجتمعات الصيد وجمع الثمار والمجتمعات الرعوية</w:t>
      </w:r>
      <w:r w:rsidRPr="00036565">
        <w:rPr>
          <w:rFonts w:ascii="Traditional Arabic" w:hAnsi="Traditional Arabic" w:cs="Traditional Arabic"/>
          <w:b/>
          <w:bCs/>
          <w:sz w:val="32"/>
          <w:szCs w:val="32"/>
          <w:rtl/>
        </w:rPr>
        <w:t>.</w:t>
      </w:r>
      <w:r w:rsidRPr="00036565">
        <w:rPr>
          <w:rStyle w:val="FootnoteReference"/>
          <w:rFonts w:ascii="Traditional Arabic" w:hAnsi="Traditional Arabic" w:cs="Traditional Arabic"/>
          <w:b/>
          <w:bCs/>
          <w:sz w:val="32"/>
          <w:szCs w:val="32"/>
          <w:rtl/>
        </w:rPr>
        <w:footnoteReference w:id="3"/>
      </w:r>
    </w:p>
    <w:p w14:paraId="70B6EF40"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لدى المجتمعات البستانية أدوار متخصصة لمختلف الأفراد. وتشمل هذه الأدوار الحرفيين والشامان والتجار.</w:t>
      </w:r>
    </w:p>
    <w:p w14:paraId="2B1C9DF6" w14:textId="3773D035" w:rsidR="003C4022" w:rsidRPr="00563823" w:rsidRDefault="003C4022" w:rsidP="00563823">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إن وجود التسلسل الهرمي، كما هو الحال في المجتمعات الرعوية، يخلق عدم المساواة في الثروة والسلطة داخل النظم السياسية البستانية. عادة ما تتشكل المجتمعات البستانية، بسبب اعتمادها على البيئة، حول المناطق التي تسمح لها الأمطار والظروف الأخرى بزراعة المحاصيل. ومن الأمثلة على المجتمع البستاني ما يلي: قبيلة غورورومبا (غينيا الجديدة) – زراعة البطاطا الحلوة، والبطاطا، وقصب السكر، والقلقاس. شعب الماساي (كينيا) - يزرعون الأرز والبطاطس والملفوف.</w:t>
      </w:r>
      <w:r w:rsidR="00563823">
        <w:rPr>
          <w:rFonts w:ascii="Traditional Arabic" w:hAnsi="Traditional Arabic" w:cs="Traditional Arabic" w:hint="cs"/>
          <w:sz w:val="32"/>
          <w:szCs w:val="32"/>
          <w:rtl/>
        </w:rPr>
        <w:t xml:space="preserve"> </w:t>
      </w:r>
      <w:r w:rsidRPr="00563823">
        <w:rPr>
          <w:rFonts w:ascii="Traditional Arabic" w:hAnsi="Traditional Arabic" w:cs="Traditional Arabic"/>
          <w:sz w:val="32"/>
          <w:szCs w:val="32"/>
          <w:rtl/>
        </w:rPr>
        <w:t>هذا وانتقلت العديد من المجتمعات البستانية بسرعة إلى العصر الزراعي مع تطوير الأدوات الدائمة.</w:t>
      </w:r>
    </w:p>
    <w:p w14:paraId="03E4B6D8" w14:textId="336F044F" w:rsidR="003C4022" w:rsidRPr="00036565" w:rsidRDefault="003C4022"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w:t>
      </w:r>
      <w:r w:rsidRPr="00036565">
        <w:rPr>
          <w:rFonts w:ascii="Traditional Arabic" w:hAnsi="Traditional Arabic" w:cs="Traditional Arabic"/>
          <w:b/>
          <w:bCs/>
          <w:sz w:val="32"/>
          <w:szCs w:val="32"/>
          <w:rtl/>
        </w:rPr>
        <w:t>المجتمعات الزراعية (مجتمع ما قبل الصناعة)</w:t>
      </w:r>
    </w:p>
    <w:p w14:paraId="78473317"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lastRenderedPageBreak/>
        <w:t>كانت المجتمعات الزراعية هي تلك التي اعتمدت على أدوات دائمة للبقاء على قيد الحياة. لقد استخدموا التقدم التكنولوجي الزراعي لزراعة المحاصيل على قطعة كبيرة من الأرض. كتب لينسكي أن الشيء الرئيسي الذي ميز المجتمعات الزراعية عن المجتمعات البستانية هو استخدام المحراث. وتعلم المزارعون كيفية تدوير أنواع المحاصيل التي يزرعونها في أراضيهم. لقد تعلموا كيفية استخدام الأسمدة.</w:t>
      </w:r>
    </w:p>
    <w:p w14:paraId="5E7FE327"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ظهرت أدوات جديدة وأفضل للحفر والحصاد. وأدى تحسن التكنولوجيا إلى زيادة الإمدادات الغذائية، الأمر الذي أدى بدوره إلى تشكيل المدن التي أصبحت مراكز للتجارة. وكانت المجتمعات الزراعية أكثر تقسيمًا اجتماعيًا من المجتمعات البستانية أو الرعوية. على سبيل المثال، أصبح دور المرأة خاضعا بشكل متزايد لدور الرجل. أولئك الذين لديهم المزيد من الموارد تطوروا إلى طبقة نبيلة منفصلة. كما ظهر نظام من الحكام ذوي المكانة الاجتماعية العالية. من أمثلة المجتمعات الزراعية ما يلي:</w:t>
      </w:r>
    </w:p>
    <w:p w14:paraId="6B3A3B4A"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b/>
          <w:bCs/>
          <w:sz w:val="32"/>
          <w:szCs w:val="32"/>
          <w:rtl/>
        </w:rPr>
        <w:t>قدماء المصريين والسومريين</w:t>
      </w:r>
      <w:r w:rsidRPr="00036565">
        <w:rPr>
          <w:rFonts w:ascii="Traditional Arabic" w:hAnsi="Traditional Arabic" w:cs="Traditional Arabic"/>
          <w:sz w:val="32"/>
          <w:szCs w:val="32"/>
          <w:rtl/>
        </w:rPr>
        <w:t>: تم العثور على محاريث في مصر القديمة يعود تاريخها إلى 4000 قبل الميلاد.</w:t>
      </w:r>
    </w:p>
    <w:p w14:paraId="340163D8" w14:textId="77777777" w:rsidR="003C4022" w:rsidRPr="00036565" w:rsidRDefault="003C4022" w:rsidP="003C4022">
      <w:pPr>
        <w:bidi/>
        <w:spacing w:after="0" w:line="276" w:lineRule="auto"/>
        <w:jc w:val="both"/>
        <w:rPr>
          <w:rFonts w:ascii="Traditional Arabic" w:hAnsi="Traditional Arabic" w:cs="Traditional Arabic"/>
          <w:b/>
          <w:bCs/>
          <w:sz w:val="32"/>
          <w:szCs w:val="32"/>
        </w:rPr>
      </w:pPr>
      <w:r w:rsidRPr="00036565">
        <w:rPr>
          <w:rFonts w:ascii="Traditional Arabic" w:hAnsi="Traditional Arabic" w:cs="Traditional Arabic"/>
          <w:sz w:val="32"/>
          <w:szCs w:val="32"/>
          <w:rtl/>
        </w:rPr>
        <w:t xml:space="preserve">  </w:t>
      </w:r>
      <w:r w:rsidRPr="00036565">
        <w:rPr>
          <w:rFonts w:ascii="Traditional Arabic" w:hAnsi="Traditional Arabic" w:cs="Traditional Arabic"/>
          <w:b/>
          <w:bCs/>
          <w:sz w:val="32"/>
          <w:szCs w:val="32"/>
          <w:rtl/>
        </w:rPr>
        <w:t>شمال الصين</w:t>
      </w:r>
      <w:r w:rsidRPr="00036565">
        <w:rPr>
          <w:rFonts w:ascii="Traditional Arabic" w:hAnsi="Traditional Arabic" w:cs="Traditional Arabic"/>
          <w:sz w:val="32"/>
          <w:szCs w:val="32"/>
          <w:rtl/>
        </w:rPr>
        <w:t>: يعود تاريخ المحاريث ذات الشفرات المعدنية في الصين إلى حوالي 3000 قبل الميلاد</w:t>
      </w:r>
      <w:r w:rsidRPr="00036565">
        <w:rPr>
          <w:rFonts w:ascii="Traditional Arabic" w:hAnsi="Traditional Arabic" w:cs="Traditional Arabic"/>
          <w:b/>
          <w:bCs/>
          <w:sz w:val="32"/>
          <w:szCs w:val="32"/>
          <w:rtl/>
        </w:rPr>
        <w:t>.</w:t>
      </w:r>
      <w:r w:rsidRPr="00036565">
        <w:rPr>
          <w:rStyle w:val="FootnoteReference"/>
          <w:rFonts w:ascii="Traditional Arabic" w:hAnsi="Traditional Arabic" w:cs="Traditional Arabic"/>
          <w:b/>
          <w:bCs/>
          <w:sz w:val="32"/>
          <w:szCs w:val="32"/>
          <w:rtl/>
        </w:rPr>
        <w:footnoteReference w:id="4"/>
      </w:r>
    </w:p>
    <w:p w14:paraId="346026EB" w14:textId="1013C65F" w:rsidR="003C4022" w:rsidRPr="00036565" w:rsidRDefault="003C4022"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w:t>
      </w:r>
      <w:r w:rsidRPr="00036565">
        <w:rPr>
          <w:rFonts w:ascii="Traditional Arabic" w:hAnsi="Traditional Arabic" w:cs="Traditional Arabic"/>
          <w:b/>
          <w:bCs/>
          <w:sz w:val="32"/>
          <w:szCs w:val="32"/>
          <w:rtl/>
        </w:rPr>
        <w:t>المجتمعات الصناعية (مجتمع صناعي)</w:t>
      </w:r>
    </w:p>
    <w:p w14:paraId="67C1C9DA"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استخدمت المجتمعات الصناعية مصادر الطاقة الخارجية، مثل الوقود الأحفوري، لزيادة معدل وحجم الإنتاج. يتم استبدال العمالة البشرية بالآلات، لذلك يميل العمال إلى التحول نحو أنشطة القطاع الثالث.</w:t>
      </w:r>
    </w:p>
    <w:p w14:paraId="41BDC96F" w14:textId="40898D0C" w:rsidR="003C4022" w:rsidRPr="00036565" w:rsidRDefault="003C4022" w:rsidP="00563823">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وفي أوروبا في القرن الثامن عشر، أتاحت الثورة الصناعية استبدال الخيول والعمال البشريين بالآلات. وكانت الطاقة البخارية أكثر كفاءة بكثير من القوة البشرية أو قوة الحصان، لذلك أصبحت المجتمعات تعتمد أكثر فأكثر على قوة الآلة لإنتاج السلع.</w:t>
      </w:r>
      <w:r w:rsidR="00563823">
        <w:rPr>
          <w:rFonts w:ascii="Traditional Arabic" w:hAnsi="Traditional Arabic" w:cs="Traditional Arabic" w:hint="cs"/>
          <w:sz w:val="32"/>
          <w:szCs w:val="32"/>
          <w:rtl/>
        </w:rPr>
        <w:t xml:space="preserve"> </w:t>
      </w:r>
      <w:r w:rsidRPr="00036565">
        <w:rPr>
          <w:rFonts w:ascii="Traditional Arabic" w:hAnsi="Traditional Arabic" w:cs="Traditional Arabic"/>
          <w:sz w:val="32"/>
          <w:szCs w:val="32"/>
          <w:rtl/>
        </w:rPr>
        <w:t>وأدى ذلك إلى زيادات هائلة في الكفاءة، الأمر الذي أدى بدوره إلى فائض أكبر من السلع لم يسبق له مثيل. ارتفع عدد السكان إلى مستويات غير مسبوقة (كما أوضح نموذج التحول الديموغرافي). حققت زيادة الإنتاجية المزيد من السلع متاحة للجميع.</w:t>
      </w:r>
    </w:p>
    <w:p w14:paraId="28E57DDE"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حلت مصانع النسيج محل الحرفيين، وبدأ المزارعون في استخدام آلات البذر الميكانيكية وآلات الدرس، وأصبحت المنتجات مثل الورق والزجاج متاحة بسهولة للمواطن العادي. وأصبح بإمكان المزيد من الناس الحصول على التعليم والرعاية الصحية أكثر من أي وقت مضى.</w:t>
      </w:r>
    </w:p>
    <w:p w14:paraId="071A7FA0"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lastRenderedPageBreak/>
        <w:t>وكان من نتائج زيادة الإنتاجية ظهور المراكز الحضرية. فضل العمال العيش بالقرب من المصانع، وكان على صناعة الخدمات توفير العمالة للعمال، لذلك أصبح عدد سكان المدن أكبر فأكبر. ومن أمثلة على المجتمع الصناعي نجد إنجلترا هي واحدة من أولى المجتمعات الصناعية واسعة النطاق، مما مكنها من أن تصبح قوة عظمى عالمية. ومع تسارع التكنولوجيا بسرعة، أصبحت معظم أوروبا وأمريكا الشمالية صناعية.</w:t>
      </w:r>
    </w:p>
    <w:p w14:paraId="1E9EC5AA"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واليوم، لا تزال العديد من المجتمعات النامية تعتمد على الاقتصادات الصناعية؛ وفي تلك المجتمعات، غالبًا ما يكون هناك مزيج من المناطق الصناعية وما بعد الصناعية.</w:t>
      </w:r>
    </w:p>
    <w:p w14:paraId="4C11C880" w14:textId="77777777" w:rsidR="003C4022" w:rsidRPr="00036565" w:rsidRDefault="003C4022" w:rsidP="003C4022">
      <w:pPr>
        <w:bidi/>
        <w:spacing w:after="0" w:line="276" w:lineRule="auto"/>
        <w:jc w:val="both"/>
        <w:rPr>
          <w:rFonts w:ascii="Traditional Arabic" w:hAnsi="Traditional Arabic" w:cs="Traditional Arabic"/>
          <w:b/>
          <w:bCs/>
          <w:sz w:val="32"/>
          <w:szCs w:val="32"/>
        </w:rPr>
      </w:pPr>
      <w:r w:rsidRPr="00036565">
        <w:rPr>
          <w:rFonts w:ascii="Traditional Arabic" w:hAnsi="Traditional Arabic" w:cs="Traditional Arabic"/>
          <w:b/>
          <w:bCs/>
          <w:sz w:val="32"/>
          <w:szCs w:val="32"/>
        </w:rPr>
        <w:t>6</w:t>
      </w:r>
      <w:r w:rsidRPr="00036565">
        <w:rPr>
          <w:rFonts w:ascii="Traditional Arabic" w:hAnsi="Traditional Arabic" w:cs="Traditional Arabic"/>
          <w:b/>
          <w:bCs/>
          <w:sz w:val="32"/>
          <w:szCs w:val="32"/>
          <w:rtl/>
        </w:rPr>
        <w:t>. مجتمعات ما بعد الصناعة (مجتمع ما بعد الصناعة)</w:t>
      </w:r>
    </w:p>
    <w:p w14:paraId="6145A3C0"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مجتمعات ما بعد الصناعة هي تلك المجتمعات التي تهيمن عليها المعلومات والخدمات والتكنولوجيا المتقدمة بدلاً من إنتاج السلع الملموسة. لذا، فإن قطاع الخدمات (الخدمات) في مجتمع ما بعد الصناعة يميل إلى أن يكون أقوى من قطاعه الثانوي (التصنيعي). ولهذا السبب يشار إليها غالبًا باسم "مجتمعات المعلومات" أو "المجتمعات الرقمية".</w:t>
      </w:r>
    </w:p>
    <w:p w14:paraId="47A7E101" w14:textId="74479097" w:rsidR="003C4022" w:rsidRDefault="00563823" w:rsidP="003C4022">
      <w:pPr>
        <w:bidi/>
        <w:spacing w:after="0"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C4022" w:rsidRPr="00036565">
        <w:rPr>
          <w:rFonts w:ascii="Traditional Arabic" w:hAnsi="Traditional Arabic" w:cs="Traditional Arabic"/>
          <w:sz w:val="32"/>
          <w:szCs w:val="32"/>
          <w:rtl/>
        </w:rPr>
        <w:t>تتمتع مجتمعات ما بعد الصناعة بالعديد من الخصائص التي تميزها عن المجتمعات الصناعية. الأول هو التحول من إنتاج السلع إلى تقديم الخدمات. والثاني هو القيمة التي توليها هذه المجتمعات للمعرفة. السمة الثالثة هي أنه في مجتمعات ما بعد الصناعة، يميل العمل العمالي إلى الانخفاض في أهميته، في حين يميل العمل المهني إلى أن يكون ذا قيمة عالية. من أهم الخصائص الحيوية لمجتمع ما بعد الصناعة هو تقديره العالي للمعرفة. وبما أن قطاع الخدمات له أهمية أساسية في مثل هذه المجتمعات، فإن المعرفة تصبح أكثر قوة. وتلعب المعاهد البحثية ومراكز الأبحاث والجامعات والمدارس دوراً أكبر. كل هذا يؤدي إلى زيادة عامة في الخبرة. ومن أمثلة على مجتمعات ما بعد الصناعة يمكن اعتبار مناطق معظم العالم المتقدم في القرن الحادي والعشرين ما بعد الصناعة. وهذا يشمل، على سبيل المثال لا الحصر: الولايات المتحدة الأمريكية، المملكة المتحدة، فرنسا، ألمانيا، سنغافورة.</w:t>
      </w:r>
      <w:r w:rsidR="003C4022" w:rsidRPr="00036565">
        <w:rPr>
          <w:rStyle w:val="FootnoteReference"/>
          <w:rFonts w:ascii="Traditional Arabic" w:hAnsi="Traditional Arabic" w:cs="Traditional Arabic"/>
          <w:sz w:val="32"/>
          <w:szCs w:val="32"/>
          <w:rtl/>
        </w:rPr>
        <w:footnoteReference w:id="5"/>
      </w:r>
    </w:p>
    <w:p w14:paraId="71BD7BD3" w14:textId="77777777" w:rsidR="00563823" w:rsidRDefault="00563823" w:rsidP="00563823">
      <w:pPr>
        <w:bidi/>
        <w:spacing w:after="0" w:line="276" w:lineRule="auto"/>
        <w:jc w:val="both"/>
        <w:rPr>
          <w:rFonts w:ascii="Traditional Arabic" w:hAnsi="Traditional Arabic" w:cs="Traditional Arabic"/>
          <w:sz w:val="32"/>
          <w:szCs w:val="32"/>
          <w:rtl/>
        </w:rPr>
      </w:pPr>
    </w:p>
    <w:p w14:paraId="0D779E3F" w14:textId="77777777" w:rsidR="00563823" w:rsidRPr="00036565" w:rsidRDefault="00563823" w:rsidP="00563823">
      <w:pPr>
        <w:bidi/>
        <w:spacing w:after="0" w:line="276" w:lineRule="auto"/>
        <w:jc w:val="both"/>
        <w:rPr>
          <w:rFonts w:ascii="Traditional Arabic" w:hAnsi="Traditional Arabic" w:cs="Traditional Arabic"/>
          <w:sz w:val="32"/>
          <w:szCs w:val="32"/>
        </w:rPr>
      </w:pPr>
    </w:p>
    <w:p w14:paraId="0E6FBE8E" w14:textId="69AE4AE1" w:rsidR="003C4022" w:rsidRPr="00036565" w:rsidRDefault="003C4022" w:rsidP="003C4022">
      <w:pPr>
        <w:bidi/>
        <w:spacing w:after="0" w:line="276" w:lineRule="auto"/>
        <w:jc w:val="both"/>
        <w:rPr>
          <w:rFonts w:ascii="Traditional Arabic" w:hAnsi="Traditional Arabic" w:cs="Traditional Arabic"/>
          <w:b/>
          <w:bCs/>
          <w:sz w:val="32"/>
          <w:szCs w:val="32"/>
          <w:lang w:bidi="ar-EG"/>
        </w:rPr>
      </w:pPr>
      <w:r>
        <w:rPr>
          <w:rFonts w:ascii="Traditional Arabic" w:hAnsi="Traditional Arabic" w:cs="Traditional Arabic" w:hint="cs"/>
          <w:b/>
          <w:bCs/>
          <w:sz w:val="32"/>
          <w:szCs w:val="32"/>
          <w:rtl/>
          <w:lang w:bidi="ar-EG"/>
        </w:rPr>
        <w:lastRenderedPageBreak/>
        <w:t>ثا</w:t>
      </w:r>
      <w:r w:rsidR="00563823">
        <w:rPr>
          <w:rFonts w:ascii="Traditional Arabic" w:hAnsi="Traditional Arabic" w:cs="Traditional Arabic" w:hint="cs"/>
          <w:b/>
          <w:bCs/>
          <w:sz w:val="32"/>
          <w:szCs w:val="32"/>
          <w:rtl/>
          <w:lang w:bidi="ar-EG"/>
        </w:rPr>
        <w:t>لثا</w:t>
      </w:r>
      <w:r>
        <w:rPr>
          <w:rFonts w:ascii="Traditional Arabic" w:hAnsi="Traditional Arabic" w:cs="Traditional Arabic" w:hint="cs"/>
          <w:b/>
          <w:bCs/>
          <w:sz w:val="32"/>
          <w:szCs w:val="32"/>
          <w:rtl/>
          <w:lang w:bidi="ar-EG"/>
        </w:rPr>
        <w:t>: الحراك الاجتماعي في</w:t>
      </w:r>
      <w:r w:rsidR="00563823">
        <w:rPr>
          <w:rFonts w:ascii="Traditional Arabic" w:hAnsi="Traditional Arabic" w:cs="Traditional Arabic" w:hint="cs"/>
          <w:b/>
          <w:bCs/>
          <w:sz w:val="32"/>
          <w:szCs w:val="32"/>
          <w:rtl/>
          <w:lang w:bidi="ar-EG"/>
        </w:rPr>
        <w:t xml:space="preserve"> المجتمع</w:t>
      </w:r>
      <w:r>
        <w:rPr>
          <w:rFonts w:ascii="Traditional Arabic" w:hAnsi="Traditional Arabic" w:cs="Traditional Arabic" w:hint="cs"/>
          <w:b/>
          <w:bCs/>
          <w:sz w:val="32"/>
          <w:szCs w:val="32"/>
          <w:rtl/>
          <w:lang w:bidi="ar-EG"/>
        </w:rPr>
        <w:t xml:space="preserve"> </w:t>
      </w:r>
      <w:r w:rsidRPr="00036565">
        <w:rPr>
          <w:rFonts w:ascii="Traditional Arabic" w:hAnsi="Traditional Arabic" w:cs="Traditional Arabic"/>
          <w:b/>
          <w:bCs/>
          <w:sz w:val="32"/>
          <w:szCs w:val="32"/>
          <w:rtl/>
          <w:lang w:bidi="ar-EG"/>
        </w:rPr>
        <w:t xml:space="preserve">المفتوح والمغلق </w:t>
      </w:r>
      <w:r w:rsidR="00563823">
        <w:rPr>
          <w:rFonts w:ascii="Traditional Arabic" w:hAnsi="Traditional Arabic" w:cs="Traditional Arabic" w:hint="cs"/>
          <w:b/>
          <w:bCs/>
          <w:sz w:val="32"/>
          <w:szCs w:val="32"/>
          <w:rtl/>
          <w:lang w:bidi="ar-EG"/>
        </w:rPr>
        <w:t>:</w:t>
      </w:r>
    </w:p>
    <w:p w14:paraId="6FEE033B" w14:textId="7194E7CD" w:rsidR="003C4022" w:rsidRPr="00036565" w:rsidRDefault="00563823" w:rsidP="003C4022">
      <w:pPr>
        <w:bidi/>
        <w:spacing w:after="0" w:line="27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     في </w:t>
      </w:r>
      <w:r w:rsidR="003C4022" w:rsidRPr="00036565">
        <w:rPr>
          <w:rFonts w:ascii="Traditional Arabic" w:hAnsi="Traditional Arabic" w:cs="Traditional Arabic"/>
          <w:sz w:val="32"/>
          <w:szCs w:val="32"/>
          <w:rtl/>
          <w:lang w:bidi="ar-EG"/>
        </w:rPr>
        <w:t>مجتمعات المفتوحة والمجتمعات المغلقة قدم كارل بوبر هذه المصطلحات في كتابه "المجتمع المفتوح وأعداؤه" (1945)، وتم استكشافها بشكل أكبر في "فقر التاريخية" (1957). جادل بوبر بأن كلا من العلم والتاريخ البشري هما في الأساس غير محددين ومائعين. وبتطبيق ذلك على النظرية الاجتماعية، أنتج هذا هجوم بوبر الحيوي والمدمر على التاريخانية. نظريات مثل نظريات أفلاطون وهيغل وماركس، التي تقترح وجود قوانين التاريخ ومصير إنساني يمكن معرفته، رفضها بوبر باعتبارها غير قابلة للدعم علميا وخطيرة سياسيا. واقترح أن كل هذه النظريات ستؤدي إلى أنظمة استبدادية وغير إنسانية، والتي وصفها بالمجتمعات المغلقة لأنها كانت مغلقة أمام عمليات التغيير الطبيعية. وعلى النقيض من ذلك، كانت المجتمعات المفتوحة مبنية على النشاط والإبداع والابتكار لدى العديد من الأفراد، وكانت تتطور على نحو لا يمكن التنبؤ به من خلال الهندسة الاجتماعية التدريجية. إنها تلك المجتمعات التي تتم فيها مراقبة السياسات الاجتماعية بحثًا عن عواقب غير مقصودة، ويتم انتقادها علنًا وتعديلها في ضوء مثل هذه الانتقادات. ويجب أن تكون مثل هذه المجتمعات ليبرالية وديمقراطية، بمعنى أنه يجب أن يكون من الممكن عزل الحكام الذين يفشلون في الاستجابة للانتقادات المبررة من مناصبهم. وكان التناقض الضمني بطبيعة الحال بين النظام الشمولي الذي كان قائما في الاتحاد السوفييتي آنذاك (كمجتمع مغلق) والديمقراطيات الغربية (كمجتمعات مفتوحة). كان يُنظر إلى حجج بوبر على أنها دحض منطقي حاسم لأسس الماركسية ذاتها، سواء ادعائها بالمكانة العلمية، أو ادعاءها بالكشف عن مسار التاريخ المستقبلي.</w:t>
      </w:r>
    </w:p>
    <w:p w14:paraId="07663158" w14:textId="1A01DEE6" w:rsidR="003C4022" w:rsidRPr="00036565" w:rsidRDefault="00563823" w:rsidP="00563823">
      <w:pPr>
        <w:pStyle w:val="Normal1"/>
        <w:bidi/>
        <w:spacing w:after="0"/>
        <w:jc w:val="both"/>
        <w:rPr>
          <w:rFonts w:ascii="Traditional Arabic" w:hAnsi="Traditional Arabic" w:cs="Traditional Arabic"/>
          <w:color w:val="auto"/>
          <w:sz w:val="32"/>
          <w:szCs w:val="32"/>
        </w:rPr>
      </w:pPr>
      <w:r>
        <w:rPr>
          <w:rFonts w:ascii="Traditional Arabic" w:hAnsi="Traditional Arabic" w:cs="Traditional Arabic" w:hint="cs"/>
          <w:sz w:val="32"/>
          <w:szCs w:val="32"/>
          <w:rtl/>
          <w:lang w:bidi="ar-EG"/>
        </w:rPr>
        <w:t xml:space="preserve">       </w:t>
      </w:r>
      <w:r w:rsidR="003C4022" w:rsidRPr="00036565">
        <w:rPr>
          <w:rFonts w:ascii="Traditional Arabic" w:hAnsi="Traditional Arabic" w:cs="Traditional Arabic"/>
          <w:sz w:val="32"/>
          <w:szCs w:val="32"/>
          <w:rtl/>
          <w:lang w:bidi="ar-EG"/>
        </w:rPr>
        <w:t xml:space="preserve">هذا وإذا تكلمنا على الحراك الاجتماعي في المجتمع المفتوح والمغلق نجد بأن </w:t>
      </w:r>
      <w:r w:rsidR="003C4022" w:rsidRPr="00036565">
        <w:rPr>
          <w:rFonts w:ascii="Traditional Arabic" w:hAnsi="Traditional Arabic" w:cs="Traditional Arabic"/>
          <w:sz w:val="32"/>
          <w:szCs w:val="32"/>
          <w:rtl/>
        </w:rPr>
        <w:t xml:space="preserve">المجتمعات المفتوحة كالمجتمعات الديموقراطية أو الرأسمالية تفتح المجال للأفراد بالحراك الاجتماعي  وذلك لغياب الحواجز سواء العرقية أو الدينية أو السياسية، فطموح الفرد و ورغبته في حسين مستواه المعيشي و واكتساب لمستوى علمي و تقني و والتحاق  بمنصب أعلى و ومشاركته في نشاطات اقتصادية و سياسية معينة قد يسمح لو بالارتقاء و والحراك الاجتماعي دون الرجوع الى مكانة أسرته او عقيدته أو ماضيه الاجتماعي، على العكس من ذلك نجد  المجتمع المغلق مجتمع مليء  بالحواجز السياسية و الاقتصادية و العرقية و الدينية  كالمجتمعات الديكتاتورية او الملكية، حيث ان الفرد ليس لو دخل في مكانته الاجتماعية  في المجتمع فيي غالبا ما تورث لو من خلال الوالدين، </w:t>
      </w:r>
      <w:r w:rsidR="003C4022" w:rsidRPr="00036565">
        <w:rPr>
          <w:rFonts w:ascii="Traditional Arabic" w:hAnsi="Traditional Arabic" w:cs="Traditional Arabic"/>
          <w:sz w:val="32"/>
          <w:szCs w:val="32"/>
          <w:rtl/>
        </w:rPr>
        <w:lastRenderedPageBreak/>
        <w:t>هذا المجتمع  لا يعترف بالجهود والعمل الشخصي للفرد كون  المكانة الاجتماعية تكون موروثة و ليست مكتسبة</w:t>
      </w:r>
      <w:r w:rsidR="003C4022" w:rsidRPr="00036565">
        <w:rPr>
          <w:rFonts w:ascii="Traditional Arabic" w:hAnsi="Traditional Arabic" w:cs="Traditional Arabic"/>
          <w:sz w:val="32"/>
          <w:szCs w:val="32"/>
        </w:rPr>
        <w:t xml:space="preserve"> </w:t>
      </w:r>
      <w:r w:rsidR="003C4022" w:rsidRPr="00036565">
        <w:rPr>
          <w:rFonts w:ascii="Traditional Arabic" w:hAnsi="Traditional Arabic" w:cs="Traditional Arabic"/>
          <w:sz w:val="32"/>
          <w:szCs w:val="32"/>
          <w:rtl/>
        </w:rPr>
        <w:t>، مما يؤدي إلى جمود اجتماعي بدل من الحراك.</w:t>
      </w:r>
      <w:r w:rsidR="003C4022" w:rsidRPr="00036565">
        <w:rPr>
          <w:rFonts w:ascii="Traditional Arabic" w:hAnsi="Traditional Arabic" w:cs="Traditional Arabic"/>
          <w:color w:val="auto"/>
          <w:sz w:val="32"/>
          <w:szCs w:val="32"/>
          <w:rtl/>
        </w:rPr>
        <w:t xml:space="preserve"> وكما يرى (رالف تيرنر) أن عملية الحراك الاجتماعي في المجتمع المفتوح حراك تسابقي. وكلما ازداد الانفتاح زاد الحراك الاجتماعي وكلما قل الانفتاح قل الحراك الاجتماعي. </w:t>
      </w:r>
      <w:r>
        <w:rPr>
          <w:rFonts w:ascii="Traditional Arabic" w:hAnsi="Traditional Arabic" w:cs="Traditional Arabic" w:hint="cs"/>
          <w:color w:val="auto"/>
          <w:sz w:val="32"/>
          <w:szCs w:val="32"/>
          <w:rtl/>
        </w:rPr>
        <w:t xml:space="preserve"> </w:t>
      </w:r>
      <w:r w:rsidR="003C4022" w:rsidRPr="00036565">
        <w:rPr>
          <w:rFonts w:ascii="Traditional Arabic" w:hAnsi="Traditional Arabic" w:cs="Traditional Arabic"/>
          <w:color w:val="auto"/>
          <w:sz w:val="32"/>
          <w:szCs w:val="32"/>
          <w:rtl/>
        </w:rPr>
        <w:t>على عكس مجتمعات النظام القديم (أو حتى المجتمعات الطبقية في الهند أو السودان) المكونة من مجموعات وراثية، في مجتمع ديمقراطي وليبرالي تمامًا، يجب أن يتمتع الأفراد بنفس الفرص للوصول إلى مناصب اجتماعية مختلفة.</w:t>
      </w:r>
      <w:r w:rsidR="003C4022">
        <w:rPr>
          <w:rStyle w:val="FootnoteReference"/>
          <w:rFonts w:ascii="Traditional Arabic" w:hAnsi="Traditional Arabic" w:cs="Traditional Arabic"/>
          <w:color w:val="auto"/>
          <w:sz w:val="32"/>
          <w:szCs w:val="32"/>
          <w:rtl/>
        </w:rPr>
        <w:footnoteReference w:id="6"/>
      </w:r>
    </w:p>
    <w:p w14:paraId="767FB6A9" w14:textId="31D0F745" w:rsidR="003C4022" w:rsidRPr="00036565" w:rsidRDefault="00563823" w:rsidP="003C4022">
      <w:pPr>
        <w:pStyle w:val="Normal1"/>
        <w:bidi/>
        <w:spacing w:after="0"/>
        <w:jc w:val="both"/>
        <w:rPr>
          <w:rFonts w:ascii="Traditional Arabic" w:hAnsi="Traditional Arabic" w:cs="Traditional Arabic"/>
          <w:color w:val="auto"/>
          <w:sz w:val="32"/>
          <w:szCs w:val="32"/>
          <w:rtl/>
        </w:rPr>
      </w:pPr>
      <w:r>
        <w:rPr>
          <w:rFonts w:ascii="Traditional Arabic" w:hAnsi="Traditional Arabic" w:cs="Traditional Arabic" w:hint="cs"/>
          <w:color w:val="auto"/>
          <w:sz w:val="32"/>
          <w:szCs w:val="32"/>
          <w:rtl/>
        </w:rPr>
        <w:t xml:space="preserve">      </w:t>
      </w:r>
      <w:r w:rsidR="003C4022" w:rsidRPr="00036565">
        <w:rPr>
          <w:rFonts w:ascii="Traditional Arabic" w:hAnsi="Traditional Arabic" w:cs="Traditional Arabic"/>
          <w:color w:val="auto"/>
          <w:sz w:val="32"/>
          <w:szCs w:val="32"/>
          <w:rtl/>
        </w:rPr>
        <w:t>ومع العلم أن هذا المثل الأعلى نادراً ما يتم التحقق منه، فإن تحليل الحراك الاجتماعي يجعل من الممكن تقييم درجة الديمقراطية والجدارة في المجتمع. كلما كان المجتمع أكثر ديمقراطية، قل تحديد الأوضاع، أي تحديدها "مسبقًا"؛ وكلما كان المجتمع أكثر جدارة، كلما اعتمدت المناصب الاجتماعية على المزايا الفردية (اكتساب المعرفة، والخبرة الشخصية، وما إلى ذلك) وليس على الأصل الاجتماعي. ومن ثم فإن دراسة الحراك الاجتماعي تشكل قضية سياسية بقدر ما تتساءل هذه الدراسة عن درجة الديمقراطية وليبرالية المجتمع.</w:t>
      </w:r>
    </w:p>
    <w:p w14:paraId="1C8F6C5B" w14:textId="3DDC2CE5" w:rsidR="003C4022" w:rsidRPr="00036565" w:rsidRDefault="00563823"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lang w:bidi="ar-EG"/>
        </w:rPr>
        <w:t>رابعا</w:t>
      </w:r>
      <w:r w:rsidR="003C4022" w:rsidRPr="00036565">
        <w:rPr>
          <w:rFonts w:ascii="Traditional Arabic" w:hAnsi="Traditional Arabic" w:cs="Traditional Arabic"/>
          <w:b/>
          <w:bCs/>
          <w:sz w:val="32"/>
          <w:szCs w:val="32"/>
          <w:rtl/>
        </w:rPr>
        <w:t>: الطبقة والحراك الاجتماعي:</w:t>
      </w:r>
    </w:p>
    <w:p w14:paraId="453C9562"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سنناقش الآن أهمية الحراك الطبقي والاجتماعي أدناه:</w:t>
      </w:r>
    </w:p>
    <w:p w14:paraId="331607FB" w14:textId="76841BB6" w:rsidR="003C4022" w:rsidRPr="00563823" w:rsidRDefault="003C4022" w:rsidP="00563823">
      <w:pPr>
        <w:pStyle w:val="ListParagraph"/>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1-</w:t>
      </w:r>
      <w:r w:rsidRPr="00036565">
        <w:rPr>
          <w:rFonts w:ascii="Traditional Arabic" w:hAnsi="Traditional Arabic" w:cs="Traditional Arabic"/>
          <w:b/>
          <w:bCs/>
          <w:sz w:val="32"/>
          <w:szCs w:val="32"/>
          <w:rtl/>
        </w:rPr>
        <w:t>أهمية الحراك الطبقي:</w:t>
      </w:r>
      <w:r w:rsidR="00563823">
        <w:rPr>
          <w:rFonts w:ascii="Traditional Arabic" w:hAnsi="Traditional Arabic" w:cs="Traditional Arabic" w:hint="cs"/>
          <w:b/>
          <w:bCs/>
          <w:sz w:val="32"/>
          <w:szCs w:val="32"/>
          <w:rtl/>
        </w:rPr>
        <w:t xml:space="preserve"> </w:t>
      </w:r>
      <w:r w:rsidRPr="00036565">
        <w:rPr>
          <w:rFonts w:ascii="Traditional Arabic" w:hAnsi="Traditional Arabic" w:cs="Traditional Arabic"/>
          <w:sz w:val="32"/>
          <w:szCs w:val="32"/>
          <w:rtl/>
        </w:rPr>
        <w:t>تعد الطبقات بُعدًا مهمًا للغاية ومنتشرًا في التقسيم الطبقي، كما أن تحليل التنقل على طول الخط الطبقي له أهمية حاسمة ليس فقط كهدف في حد ذاته ولكن أيضًا بسبب تداعياته على العمليات الاجتماعية الأخرى. لقد تم استخدام مدى التنقل كمقياس لـ "انفتاح" المجتمع الصناعي والعالي وتشير معدلات التنقل إلى أن المجتمع يتميز بالإنجاز وليس بالنسب، وأنه من الجدارة أن يحصد الأفراد الاحترام على أساس صفاتهم الشخصية وليس من خلال الثروة والمناصب الموروثة.</w:t>
      </w:r>
      <w:r w:rsidR="00563823">
        <w:rPr>
          <w:rFonts w:ascii="Traditional Arabic" w:hAnsi="Traditional Arabic" w:cs="Traditional Arabic" w:hint="cs"/>
          <w:sz w:val="32"/>
          <w:szCs w:val="32"/>
          <w:rtl/>
        </w:rPr>
        <w:t xml:space="preserve"> </w:t>
      </w:r>
      <w:r w:rsidRPr="00036565">
        <w:rPr>
          <w:rFonts w:ascii="Traditional Arabic" w:hAnsi="Traditional Arabic" w:cs="Traditional Arabic"/>
          <w:sz w:val="32"/>
          <w:szCs w:val="32"/>
          <w:rtl/>
        </w:rPr>
        <w:t>يعد التنقل الطبقي عاملاً حاسماً في فهم تكوين الفصل. كما أن دراسة الحراك الطبقي يمكن أن توفر مؤشرات على فرص الحياة لأفراد المجتمع أي. تأثير الطبقة الأصلية للفرد على فرصة الحياة.</w:t>
      </w:r>
    </w:p>
    <w:p w14:paraId="380E2D7F" w14:textId="2EACB231" w:rsidR="003C4022" w:rsidRPr="00563823" w:rsidRDefault="003C4022" w:rsidP="00563823">
      <w:pPr>
        <w:pStyle w:val="ListParagraph"/>
        <w:bidi/>
        <w:spacing w:after="0" w:line="276" w:lineRule="auto"/>
        <w:ind w:left="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Pr="00036565">
        <w:rPr>
          <w:rFonts w:ascii="Traditional Arabic" w:hAnsi="Traditional Arabic" w:cs="Traditional Arabic"/>
          <w:b/>
          <w:bCs/>
          <w:sz w:val="32"/>
          <w:szCs w:val="32"/>
          <w:rtl/>
        </w:rPr>
        <w:t xml:space="preserve"> الحراك وتشكيل الطبقة:</w:t>
      </w:r>
      <w:r w:rsidR="00563823">
        <w:rPr>
          <w:rFonts w:ascii="Traditional Arabic" w:hAnsi="Traditional Arabic" w:cs="Traditional Arabic" w:hint="cs"/>
          <w:b/>
          <w:bCs/>
          <w:sz w:val="32"/>
          <w:szCs w:val="32"/>
          <w:rtl/>
        </w:rPr>
        <w:t xml:space="preserve"> </w:t>
      </w:r>
      <w:r w:rsidRPr="00036565">
        <w:rPr>
          <w:rFonts w:ascii="Traditional Arabic" w:hAnsi="Traditional Arabic" w:cs="Traditional Arabic"/>
          <w:sz w:val="32"/>
          <w:szCs w:val="32"/>
          <w:rtl/>
        </w:rPr>
        <w:t xml:space="preserve">الجانب الأكثر أهمية في تشكيل الطبقة. أبدى عدد كبير من العلماء اهتمامًا كبيرًا بهذا المجال من الدراسة. كان كارل ماركس قلقًا بشأن العلاقة بين التكوين الطبقي والفعل من جهة ومدى </w:t>
      </w:r>
      <w:r w:rsidRPr="00036565">
        <w:rPr>
          <w:rFonts w:ascii="Traditional Arabic" w:hAnsi="Traditional Arabic" w:cs="Traditional Arabic"/>
          <w:sz w:val="32"/>
          <w:szCs w:val="32"/>
          <w:rtl/>
        </w:rPr>
        <w:lastRenderedPageBreak/>
        <w:t>الحراك بين المواقف الطبقية من جهة أخرى. وكان يرى أن البروليتاريا كانت معادية لها عملية تشكيل الطبقة. أيضا في المجتمعات الرأسمالية المتقدمة، توسع الطبقة الوسطى على أساس التجنيد من البروليتاريا. كما اعترف ماركس بأن يُنظر إلى درجة معينة من الجمود على أنها شرط أساسي لا غنى عنه للظهور</w:t>
      </w:r>
      <w:r>
        <w:rPr>
          <w:rFonts w:ascii="Traditional Arabic" w:hAnsi="Traditional Arabic" w:cs="Traditional Arabic" w:hint="cs"/>
          <w:sz w:val="32"/>
          <w:szCs w:val="32"/>
          <w:rtl/>
        </w:rPr>
        <w:t xml:space="preserve"> </w:t>
      </w:r>
      <w:r w:rsidRPr="00036565">
        <w:rPr>
          <w:rFonts w:ascii="Traditional Arabic" w:hAnsi="Traditional Arabic" w:cs="Traditional Arabic"/>
          <w:sz w:val="32"/>
          <w:szCs w:val="32"/>
          <w:rtl/>
        </w:rPr>
        <w:t>من الوعي الطبقي. وبالمثل، أكد فيبر أيضًا على أهمية التواصل الاجتماعي التنقل لتشكيل الطبقة. لقد أدرك فيبر أن عدم القدرة على الحركة هو المحدد الرئيسي للحركة الهوية الاجتماعية والثقافية للطبقة.</w:t>
      </w:r>
    </w:p>
    <w:p w14:paraId="12F424BA" w14:textId="1FC90523" w:rsidR="003C4022" w:rsidRPr="00036565" w:rsidRDefault="00563823" w:rsidP="003C4022">
      <w:pPr>
        <w:bidi/>
        <w:spacing w:after="0"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3C4022" w:rsidRPr="00036565">
        <w:rPr>
          <w:rFonts w:ascii="Traditional Arabic" w:hAnsi="Traditional Arabic" w:cs="Traditional Arabic"/>
          <w:sz w:val="32"/>
          <w:szCs w:val="32"/>
          <w:rtl/>
        </w:rPr>
        <w:t>لقد قدم سوروكين مساهمة رائدة في تحليل ودراسة الحراك الاجتماعي وساهم في تصوره وأنواعه وتوجيهه. إنه يفرق بين المجتمعات "المغلقة" الجامدة وغير المتحركة وغير القابلة للاختراق وتلك "المفتوحة" البلاستيكية أو القابلة للاختراق أو المتنقلة، وغالبًا ما ترتبط طبيعة النظام الطبقي بـ "المجتمع المغلق" حيث نادرًا ما تكون سبل التنقل مقيدة وقليلة. توجد الفصول الدراسية في "المجتمعات" "المفتوحة" التي غالبًا ما توفر فرصًا وافرة للتنقل من خلال الإنجاز. ومن المهم التحقيق في طبيعة التنقل في الطبقة والطبقة لمعرفة مدى تأكيدها للتعميم الذي ذكره</w:t>
      </w:r>
      <w:r w:rsidR="003C4022" w:rsidRPr="00036565">
        <w:rPr>
          <w:rFonts w:ascii="Traditional Arabic" w:hAnsi="Traditional Arabic" w:cs="Traditional Arabic"/>
          <w:sz w:val="32"/>
          <w:szCs w:val="32"/>
        </w:rPr>
        <w:t xml:space="preserve"> </w:t>
      </w:r>
      <w:r w:rsidR="003C4022" w:rsidRPr="00036565">
        <w:rPr>
          <w:rFonts w:ascii="Traditional Arabic" w:hAnsi="Traditional Arabic" w:cs="Traditional Arabic"/>
          <w:sz w:val="32"/>
          <w:szCs w:val="32"/>
          <w:rtl/>
        </w:rPr>
        <w:t>سوروكين.</w:t>
      </w:r>
    </w:p>
    <w:p w14:paraId="3B31A0E7" w14:textId="54636026" w:rsidR="003C4022" w:rsidRPr="00036565" w:rsidRDefault="00563823" w:rsidP="003C4022">
      <w:pPr>
        <w:bidi/>
        <w:spacing w:after="0"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3C4022" w:rsidRPr="00036565">
        <w:rPr>
          <w:rFonts w:ascii="Traditional Arabic" w:hAnsi="Traditional Arabic" w:cs="Traditional Arabic"/>
          <w:sz w:val="32"/>
          <w:szCs w:val="32"/>
          <w:rtl/>
        </w:rPr>
        <w:t>في حين أن الانطباع العام هو أن الطبقة الاجتماعية هي نظام "مغلق" من التقسيم الطبقي، إلا أنه في الواقع غير صحيح. لا يوجد مجتمع ثابت، وحتى في البيئة التقليدية حيث كان الإسناد هو المحدد الرئيسي للوضع المهني والطبيعي للفرد، فإن الحصول على المكافآت والموارد والحراك الاجتماعي لم يكن غائبًا تمامًا.</w:t>
      </w:r>
    </w:p>
    <w:p w14:paraId="79F693A2" w14:textId="6701C9C2" w:rsidR="003C4022" w:rsidRPr="00036565" w:rsidRDefault="00563823" w:rsidP="003C4022">
      <w:pPr>
        <w:bidi/>
        <w:spacing w:after="0" w:line="276"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3C4022" w:rsidRPr="00036565">
        <w:rPr>
          <w:rFonts w:ascii="Traditional Arabic" w:hAnsi="Traditional Arabic" w:cs="Traditional Arabic"/>
          <w:sz w:val="32"/>
          <w:szCs w:val="32"/>
          <w:rtl/>
        </w:rPr>
        <w:t>يتجلى الحراك الاجتماعي في النظام الطبقي في التناقض المتزايد بين الطبقة والمهن، واختفاء التزام، والصلابة فيما يتعلق بالنقاء والتلوث وقبول نمط الحياة العلماني. ويشير سرينيفاس</w:t>
      </w:r>
      <w:r w:rsidR="003C4022" w:rsidRPr="00036565">
        <w:rPr>
          <w:rFonts w:ascii="Traditional Arabic" w:hAnsi="Traditional Arabic" w:cs="Traditional Arabic"/>
          <w:sz w:val="32"/>
          <w:szCs w:val="32"/>
        </w:rPr>
        <w:t xml:space="preserve"> Srinivas </w:t>
      </w:r>
      <w:r w:rsidR="003C4022" w:rsidRPr="00036565">
        <w:rPr>
          <w:rFonts w:ascii="Traditional Arabic" w:hAnsi="Traditional Arabic" w:cs="Traditional Arabic"/>
          <w:sz w:val="32"/>
          <w:szCs w:val="32"/>
          <w:rtl/>
        </w:rPr>
        <w:t xml:space="preserve">  إلى أنه في الأيام الخوالي، كان هناك مصدران رئيسيان للتنقل. الأول كان سيولة النظام السياسي، مما جعل من الممكن للطوائف الجديدة أن تتولى وضع الكاتريا </w:t>
      </w:r>
      <w:proofErr w:type="spellStart"/>
      <w:r w:rsidR="003C4022" w:rsidRPr="00036565">
        <w:rPr>
          <w:rFonts w:ascii="Traditional Arabic" w:hAnsi="Traditional Arabic" w:cs="Traditional Arabic"/>
          <w:sz w:val="32"/>
          <w:szCs w:val="32"/>
        </w:rPr>
        <w:t>Kahatriyas</w:t>
      </w:r>
      <w:proofErr w:type="spellEnd"/>
      <w:r w:rsidR="003C4022" w:rsidRPr="00036565">
        <w:rPr>
          <w:rFonts w:ascii="Traditional Arabic" w:hAnsi="Traditional Arabic" w:cs="Traditional Arabic"/>
          <w:sz w:val="32"/>
          <w:szCs w:val="32"/>
          <w:rtl/>
        </w:rPr>
        <w:t xml:space="preserve"> </w:t>
      </w:r>
      <w:r w:rsidR="003C4022" w:rsidRPr="00036565">
        <w:rPr>
          <w:rFonts w:ascii="Traditional Arabic" w:hAnsi="Traditional Arabic" w:cs="Traditional Arabic"/>
          <w:sz w:val="32"/>
          <w:szCs w:val="32"/>
        </w:rPr>
        <w:t xml:space="preserve"> </w:t>
      </w:r>
      <w:r w:rsidR="003C4022" w:rsidRPr="00036565">
        <w:rPr>
          <w:rFonts w:ascii="Traditional Arabic" w:hAnsi="Traditional Arabic" w:cs="Traditional Arabic"/>
          <w:sz w:val="32"/>
          <w:szCs w:val="32"/>
          <w:rtl/>
        </w:rPr>
        <w:t xml:space="preserve">وممارسة السلطة. السبب الثاني هو توافر الأراضي الهامشية التي يمكن زراعتها. ونتيجة لهذين الطريقين المتاحين للحراك التصاعدي، يمكن لزعماء الطوائف المهيمنة مثل ريديس والمراثا </w:t>
      </w:r>
      <w:r w:rsidR="003C4022" w:rsidRPr="00036565">
        <w:rPr>
          <w:rFonts w:ascii="Traditional Arabic" w:hAnsi="Traditional Arabic" w:cs="Traditional Arabic"/>
          <w:sz w:val="32"/>
          <w:szCs w:val="32"/>
        </w:rPr>
        <w:t xml:space="preserve">Reddis, Marathas </w:t>
      </w:r>
      <w:r w:rsidR="003C4022" w:rsidRPr="00036565">
        <w:rPr>
          <w:rFonts w:ascii="Traditional Arabic" w:hAnsi="Traditional Arabic" w:cs="Traditional Arabic"/>
          <w:sz w:val="32"/>
          <w:szCs w:val="32"/>
          <w:rtl/>
        </w:rPr>
        <w:t>الاستيلاء على السلطة السياسية.</w:t>
      </w:r>
    </w:p>
    <w:p w14:paraId="038AA644"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lastRenderedPageBreak/>
        <w:t xml:space="preserve">السلطة والمطالبة بوضع كشاتريا. نشأ باتريدارد </w:t>
      </w:r>
      <w:proofErr w:type="spellStart"/>
      <w:r w:rsidRPr="00036565">
        <w:rPr>
          <w:rFonts w:ascii="Traditional Arabic" w:hAnsi="Traditional Arabic" w:cs="Traditional Arabic"/>
          <w:sz w:val="32"/>
          <w:szCs w:val="32"/>
        </w:rPr>
        <w:t>Patridard</w:t>
      </w:r>
      <w:proofErr w:type="spellEnd"/>
      <w:r w:rsidRPr="00036565">
        <w:rPr>
          <w:rFonts w:ascii="Traditional Arabic" w:hAnsi="Traditional Arabic" w:cs="Traditional Arabic"/>
          <w:sz w:val="32"/>
          <w:szCs w:val="32"/>
          <w:rtl/>
        </w:rPr>
        <w:t xml:space="preserve"> ولاية غوجارات</w:t>
      </w:r>
      <w:r w:rsidRPr="00036565">
        <w:rPr>
          <w:rFonts w:ascii="Traditional Arabic" w:hAnsi="Traditional Arabic" w:cs="Traditional Arabic"/>
          <w:sz w:val="32"/>
          <w:szCs w:val="32"/>
        </w:rPr>
        <w:t xml:space="preserve"> Gujarat </w:t>
      </w:r>
      <w:r w:rsidRPr="00036565">
        <w:rPr>
          <w:rFonts w:ascii="Traditional Arabic" w:hAnsi="Traditional Arabic" w:cs="Traditional Arabic"/>
          <w:sz w:val="32"/>
          <w:szCs w:val="32"/>
          <w:rtl/>
        </w:rPr>
        <w:t xml:space="preserve">  كطبقة فلاحية. عندما يصعد زعيم الطبقة المهيمنة إلى رتبة  ملك، يصبح مصدرًا للتنقل للأعضاء الآخرين ويتم تعزيز ذلك من خلال</w:t>
      </w:r>
      <w:r w:rsidRPr="00036565">
        <w:rPr>
          <w:rFonts w:ascii="Traditional Arabic" w:hAnsi="Traditional Arabic" w:cs="Traditional Arabic"/>
          <w:sz w:val="32"/>
          <w:szCs w:val="32"/>
        </w:rPr>
        <w:t xml:space="preserve"> </w:t>
      </w:r>
      <w:r w:rsidRPr="00036565">
        <w:rPr>
          <w:rFonts w:ascii="Traditional Arabic" w:hAnsi="Traditional Arabic" w:cs="Traditional Arabic"/>
          <w:sz w:val="32"/>
          <w:szCs w:val="32"/>
          <w:rtl/>
        </w:rPr>
        <w:t>اعتماد الممارسات وأسلوب حياة الطبقات العليا.</w:t>
      </w:r>
      <w:r w:rsidRPr="00036565">
        <w:rPr>
          <w:rStyle w:val="FootnoteReference"/>
          <w:rFonts w:ascii="Traditional Arabic" w:hAnsi="Traditional Arabic" w:cs="Traditional Arabic"/>
          <w:sz w:val="32"/>
          <w:szCs w:val="32"/>
          <w:rtl/>
        </w:rPr>
        <w:footnoteReference w:id="7"/>
      </w:r>
    </w:p>
    <w:p w14:paraId="5611671B" w14:textId="5EB998F8" w:rsidR="003C4022" w:rsidRPr="00563823" w:rsidRDefault="003C4022" w:rsidP="00563823">
      <w:pPr>
        <w:pStyle w:val="ListParagraph"/>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3-</w:t>
      </w:r>
      <w:r w:rsidRPr="00036565">
        <w:rPr>
          <w:rFonts w:ascii="Traditional Arabic" w:hAnsi="Traditional Arabic" w:cs="Traditional Arabic"/>
          <w:b/>
          <w:bCs/>
          <w:sz w:val="32"/>
          <w:szCs w:val="32"/>
          <w:rtl/>
        </w:rPr>
        <w:t>مستوى الحراك الاجتماعي:</w:t>
      </w:r>
      <w:r w:rsidR="00563823">
        <w:rPr>
          <w:rFonts w:ascii="Traditional Arabic" w:hAnsi="Traditional Arabic" w:cs="Traditional Arabic" w:hint="cs"/>
          <w:b/>
          <w:bCs/>
          <w:sz w:val="32"/>
          <w:szCs w:val="32"/>
          <w:rtl/>
        </w:rPr>
        <w:t xml:space="preserve"> </w:t>
      </w:r>
      <w:r w:rsidRPr="00036565">
        <w:rPr>
          <w:rFonts w:ascii="Traditional Arabic" w:hAnsi="Traditional Arabic" w:cs="Traditional Arabic"/>
          <w:sz w:val="32"/>
          <w:szCs w:val="32"/>
          <w:rtl/>
        </w:rPr>
        <w:t>لقد تم التنقل على مستوى الفرد والأسرة والجماعة. لقد قام شارما</w:t>
      </w:r>
      <w:r w:rsidRPr="00036565">
        <w:rPr>
          <w:rFonts w:ascii="Traditional Arabic" w:hAnsi="Traditional Arabic" w:cs="Traditional Arabic"/>
          <w:sz w:val="32"/>
          <w:szCs w:val="32"/>
        </w:rPr>
        <w:t xml:space="preserve"> K.L. Sharma</w:t>
      </w:r>
      <w:r w:rsidRPr="00036565">
        <w:rPr>
          <w:rFonts w:ascii="Traditional Arabic" w:hAnsi="Traditional Arabic" w:cs="Traditional Arabic"/>
          <w:sz w:val="32"/>
          <w:szCs w:val="32"/>
          <w:rtl/>
        </w:rPr>
        <w:t xml:space="preserve"> بتحليل دقيق لهذه المستويات من الحركة.</w:t>
      </w:r>
    </w:p>
    <w:p w14:paraId="74AD66D3" w14:textId="28B18196" w:rsidR="003C4022" w:rsidRPr="00036565" w:rsidRDefault="003C4022" w:rsidP="003C4022">
      <w:pPr>
        <w:pStyle w:val="ListParagraph"/>
        <w:bidi/>
        <w:spacing w:after="0" w:line="276" w:lineRule="auto"/>
        <w:ind w:left="0"/>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Pr="00036565">
        <w:rPr>
          <w:rFonts w:ascii="Traditional Arabic" w:hAnsi="Traditional Arabic" w:cs="Traditional Arabic"/>
          <w:b/>
          <w:bCs/>
          <w:sz w:val="32"/>
          <w:szCs w:val="32"/>
          <w:rtl/>
        </w:rPr>
        <w:t>حراك الفرد داخل الأسرة</w:t>
      </w:r>
      <w:r w:rsidRPr="00036565">
        <w:rPr>
          <w:rFonts w:ascii="Traditional Arabic" w:hAnsi="Traditional Arabic" w:cs="Traditional Arabic"/>
          <w:sz w:val="32"/>
          <w:szCs w:val="32"/>
          <w:rtl/>
        </w:rPr>
        <w:t>: بعض الأفراد، على الرغم من أنهم ينتمون إلى طبقة منخفضة، قد يتمتعون بمكانة ومكانة أفضل مقارنة بغيرهم</w:t>
      </w:r>
      <w:r w:rsidRPr="00036565">
        <w:rPr>
          <w:rFonts w:ascii="Traditional Arabic" w:hAnsi="Traditional Arabic" w:cs="Traditional Arabic"/>
          <w:sz w:val="32"/>
          <w:szCs w:val="32"/>
          <w:rtl/>
          <w:lang w:bidi="ar-EG"/>
        </w:rPr>
        <w:t xml:space="preserve"> من أفراد أسرتهم</w:t>
      </w:r>
      <w:r w:rsidRPr="00036565">
        <w:rPr>
          <w:rFonts w:ascii="Traditional Arabic" w:hAnsi="Traditional Arabic" w:cs="Traditional Arabic"/>
          <w:sz w:val="32"/>
          <w:szCs w:val="32"/>
          <w:rtl/>
        </w:rPr>
        <w:t>. وقد يكون ذلك بسبب السمات الشخصية للفرد مثل النزاهة والصدق والحصول على التعليم وغيرها من الإنجازات. وبالمثل فإن الشخص الأعلى قد يفقد منصبه بسبب الأفعال السيئة والعادات الكسولة. وهذا قد يؤدي إلى الحركة الهبوطية للفرد.</w:t>
      </w:r>
    </w:p>
    <w:p w14:paraId="51B7DCFF" w14:textId="557EBC4B" w:rsidR="003C4022" w:rsidRPr="00036565" w:rsidRDefault="003C4022" w:rsidP="003C4022">
      <w:pPr>
        <w:pStyle w:val="ListParagraph"/>
        <w:bidi/>
        <w:spacing w:after="0" w:line="276" w:lineRule="auto"/>
        <w:ind w:left="0"/>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Pr="00036565">
        <w:rPr>
          <w:rFonts w:ascii="Traditional Arabic" w:hAnsi="Traditional Arabic" w:cs="Traditional Arabic"/>
          <w:b/>
          <w:bCs/>
          <w:sz w:val="32"/>
          <w:szCs w:val="32"/>
          <w:rtl/>
        </w:rPr>
        <w:t>حراك أقلية من الأسر داخل الطبقة</w:t>
      </w:r>
      <w:r w:rsidRPr="00036565">
        <w:rPr>
          <w:rFonts w:ascii="Traditional Arabic" w:hAnsi="Traditional Arabic" w:cs="Traditional Arabic"/>
          <w:sz w:val="32"/>
          <w:szCs w:val="32"/>
          <w:rtl/>
        </w:rPr>
        <w:t>: يرتبط هذا النوع من التنقل بالجوانب الاجتماعية والاقتصادية والسياسية للعائلات. يمكن أن يكون التحسن في الوضع نتيجة للحصول على الأرض والتعليم، وهو ما يتم التأكيد عليه أيضًا من خلال محاكاة ممارسات الطبقة العليا فيما يتعلق باللباس،</w:t>
      </w:r>
      <w:r>
        <w:rPr>
          <w:rFonts w:ascii="Traditional Arabic" w:hAnsi="Traditional Arabic" w:cs="Traditional Arabic"/>
          <w:sz w:val="32"/>
          <w:szCs w:val="32"/>
        </w:rPr>
        <w:t xml:space="preserve"> </w:t>
      </w:r>
      <w:r w:rsidRPr="00036565">
        <w:rPr>
          <w:rFonts w:ascii="Traditional Arabic" w:hAnsi="Traditional Arabic" w:cs="Traditional Arabic"/>
          <w:sz w:val="32"/>
          <w:szCs w:val="32"/>
          <w:rtl/>
        </w:rPr>
        <w:t>نمط الحياة والطقوس. إن التنقل من هذا النوع لا يعد تعاونًا بطبيعته ويمكن اعتباره "تنقلًا أفقيًا" بدلاً من "تنقلًا رأسيًا" والذي يسد الفجوة بين الفروق بين الحالات</w:t>
      </w:r>
      <w:r w:rsidRPr="00036565">
        <w:rPr>
          <w:rFonts w:ascii="Traditional Arabic" w:hAnsi="Traditional Arabic" w:cs="Traditional Arabic"/>
          <w:sz w:val="32"/>
          <w:szCs w:val="32"/>
        </w:rPr>
        <w:t>.</w:t>
      </w:r>
    </w:p>
    <w:p w14:paraId="15A5FA9B" w14:textId="16BC0012" w:rsidR="003C4022" w:rsidRPr="00036565" w:rsidRDefault="003C4022" w:rsidP="003C4022">
      <w:pPr>
        <w:pStyle w:val="ListParagraph"/>
        <w:bidi/>
        <w:spacing w:after="0" w:line="276" w:lineRule="auto"/>
        <w:ind w:left="0"/>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036565">
        <w:rPr>
          <w:rFonts w:ascii="Traditional Arabic" w:hAnsi="Traditional Arabic" w:cs="Traditional Arabic"/>
          <w:b/>
          <w:bCs/>
          <w:sz w:val="32"/>
          <w:szCs w:val="32"/>
          <w:rtl/>
        </w:rPr>
        <w:t>حراك غالبية الأسرة أو المجموعة</w:t>
      </w:r>
      <w:r w:rsidRPr="00036565">
        <w:rPr>
          <w:rFonts w:ascii="Traditional Arabic" w:hAnsi="Traditional Arabic" w:cs="Traditional Arabic"/>
          <w:sz w:val="32"/>
          <w:szCs w:val="32"/>
          <w:rtl/>
        </w:rPr>
        <w:t>: هذا النوع من التنقل ذو طبيعة "مؤسسية". إنها تنطوي على حالة جماعية في المكانة والشرف والمكانة لذلك تميزت بالتغيرات في الممارسات الاجتماعية والثقافية فيما يتعلق بالنقاء والتلوث. تعمل بعض الطوائف على تحسين أوضاعها من خلال التخلص من الممارسات التي تعتبر غير نقية ومهينة.</w:t>
      </w:r>
      <w:r w:rsidRPr="00036565">
        <w:rPr>
          <w:rStyle w:val="FootnoteReference"/>
          <w:rFonts w:ascii="Traditional Arabic" w:hAnsi="Traditional Arabic" w:cs="Traditional Arabic"/>
          <w:sz w:val="32"/>
          <w:szCs w:val="32"/>
          <w:rtl/>
        </w:rPr>
        <w:footnoteReference w:id="8"/>
      </w:r>
    </w:p>
    <w:p w14:paraId="5CB38365" w14:textId="3A80DAAA" w:rsidR="003C4022" w:rsidRPr="00563823" w:rsidRDefault="003C4022" w:rsidP="00563823">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4-</w:t>
      </w:r>
      <w:r w:rsidRPr="00036565">
        <w:rPr>
          <w:rFonts w:ascii="Traditional Arabic" w:hAnsi="Traditional Arabic" w:cs="Traditional Arabic"/>
          <w:b/>
          <w:bCs/>
          <w:sz w:val="32"/>
          <w:szCs w:val="32"/>
          <w:rtl/>
        </w:rPr>
        <w:t>السنسكريتية والتغريب:</w:t>
      </w:r>
      <w:r w:rsidR="00563823">
        <w:rPr>
          <w:rFonts w:ascii="Traditional Arabic" w:hAnsi="Traditional Arabic" w:cs="Traditional Arabic" w:hint="cs"/>
          <w:b/>
          <w:bCs/>
          <w:sz w:val="32"/>
          <w:szCs w:val="32"/>
          <w:rtl/>
        </w:rPr>
        <w:t xml:space="preserve"> </w:t>
      </w:r>
      <w:r w:rsidRPr="00036565">
        <w:rPr>
          <w:rFonts w:ascii="Traditional Arabic" w:hAnsi="Traditional Arabic" w:cs="Traditional Arabic"/>
          <w:sz w:val="32"/>
          <w:szCs w:val="32"/>
          <w:rtl/>
        </w:rPr>
        <w:t>هناك العديد من الميزات وعمليات التنقل. وننتقل الآن إلى هذه:-</w:t>
      </w:r>
    </w:p>
    <w:p w14:paraId="6DC4A4E9" w14:textId="67DA4A49" w:rsidR="003C4022" w:rsidRPr="00036565" w:rsidRDefault="003C4022" w:rsidP="003C4022">
      <w:pPr>
        <w:bidi/>
        <w:spacing w:after="0" w:line="276" w:lineRule="auto"/>
        <w:jc w:val="both"/>
        <w:rPr>
          <w:rFonts w:ascii="Traditional Arabic" w:hAnsi="Traditional Arabic" w:cs="Traditional Arabic"/>
          <w:b/>
          <w:bCs/>
          <w:sz w:val="32"/>
          <w:szCs w:val="32"/>
        </w:rPr>
      </w:pPr>
      <w:r>
        <w:rPr>
          <w:rFonts w:ascii="Traditional Arabic" w:hAnsi="Traditional Arabic" w:cs="Traditional Arabic" w:hint="cs"/>
          <w:sz w:val="32"/>
          <w:szCs w:val="32"/>
          <w:rtl/>
        </w:rPr>
        <w:t>*</w:t>
      </w:r>
      <w:r w:rsidRPr="00036565">
        <w:rPr>
          <w:rFonts w:ascii="Traditional Arabic" w:hAnsi="Traditional Arabic" w:cs="Traditional Arabic"/>
          <w:b/>
          <w:bCs/>
          <w:sz w:val="32"/>
          <w:szCs w:val="32"/>
          <w:rtl/>
        </w:rPr>
        <w:t>السنسكريتية</w:t>
      </w:r>
      <w:r w:rsidRPr="00036565">
        <w:rPr>
          <w:rFonts w:ascii="Traditional Arabic" w:hAnsi="Traditional Arabic" w:cs="Traditional Arabic"/>
          <w:b/>
          <w:bCs/>
          <w:sz w:val="32"/>
          <w:szCs w:val="32"/>
        </w:rPr>
        <w:t xml:space="preserve"> Sanskritization</w:t>
      </w:r>
      <w:r w:rsidRPr="00036565">
        <w:rPr>
          <w:rFonts w:ascii="Traditional Arabic" w:hAnsi="Traditional Arabic" w:cs="Traditional Arabic"/>
          <w:b/>
          <w:bCs/>
          <w:sz w:val="32"/>
          <w:szCs w:val="32"/>
          <w:rtl/>
        </w:rPr>
        <w:t xml:space="preserve"> </w:t>
      </w:r>
    </w:p>
    <w:p w14:paraId="2BF77C13"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lastRenderedPageBreak/>
        <w:t>صاغ سرينيفاس</w:t>
      </w:r>
      <w:r w:rsidRPr="00036565">
        <w:rPr>
          <w:rFonts w:ascii="Traditional Arabic" w:hAnsi="Traditional Arabic" w:cs="Traditional Arabic"/>
          <w:sz w:val="32"/>
          <w:szCs w:val="32"/>
        </w:rPr>
        <w:t xml:space="preserve"> M.N. Srinivas</w:t>
      </w:r>
      <w:r w:rsidRPr="00036565">
        <w:rPr>
          <w:rFonts w:ascii="Traditional Arabic" w:hAnsi="Traditional Arabic" w:cs="Traditional Arabic"/>
          <w:sz w:val="32"/>
          <w:szCs w:val="32"/>
          <w:rtl/>
        </w:rPr>
        <w:t xml:space="preserve">  وساهم بشكل كبير في مفهوم السنسكريتية كعملية للتنقل في الطبقة. ويشير إلى اللغة السنسكريتية باعتبارها "عملية يتم من خلالها الآن تغير الطبقة الهندوسية أو القبلية أو </w:t>
      </w:r>
      <w:r>
        <w:rPr>
          <w:rFonts w:ascii="Traditional Arabic" w:hAnsi="Traditional Arabic" w:cs="Traditional Arabic"/>
          <w:sz w:val="32"/>
          <w:szCs w:val="32"/>
          <w:rtl/>
        </w:rPr>
        <w:t>الفئات</w:t>
      </w:r>
      <w:r w:rsidRPr="00036565">
        <w:rPr>
          <w:rFonts w:ascii="Traditional Arabic" w:hAnsi="Traditional Arabic" w:cs="Traditional Arabic"/>
          <w:sz w:val="32"/>
          <w:szCs w:val="32"/>
          <w:rtl/>
        </w:rPr>
        <w:t xml:space="preserve"> الأخرى عاداتها وأيديولوجيتها الطقسية وأسلوب حياتها اتجاه "الطوائف" العالية والمولودة مرتين في كثير من الأحيان كانت سائدة عبر التاريخ، واتخذت أشكالاً مختلفة. لقد تم استخدامه كآلية لسد الفجوة بين الرتبة العلمانية والطقوسية. كلما حققت طبقة ما سلطة علمانية، حاولت إضفاء الشرعية على وضعها من خلال اكتساب الرموز التقليدية للطبقة العليا من خلال تبني عاداتها وطقوسها. تم اعتبار تسجيل التعداد مصدرًا ممتازًا للمطالبة بمكانة أعلى. تمت ترقية هذا الادعاء وفقًا لسرينيفاس في العمليات اللاحقة. على سبيل المثال، إذا كانت الطبقة التي تطالب بها فايشيا في أحد التعدادات السكانية، فإنها في العمليات اللاحقة ستطالب بالبراهمين أو الكشاتريا</w:t>
      </w:r>
      <w:r w:rsidRPr="00036565">
        <w:rPr>
          <w:rFonts w:ascii="Traditional Arabic" w:hAnsi="Traditional Arabic" w:cs="Traditional Arabic"/>
          <w:sz w:val="32"/>
          <w:szCs w:val="32"/>
        </w:rPr>
        <w:t xml:space="preserve"> Kshatriya</w:t>
      </w:r>
      <w:r w:rsidRPr="00036565">
        <w:rPr>
          <w:rFonts w:ascii="Traditional Arabic" w:hAnsi="Traditional Arabic" w:cs="Traditional Arabic"/>
          <w:sz w:val="32"/>
          <w:szCs w:val="32"/>
          <w:rtl/>
        </w:rPr>
        <w:t>. أعقبت هذه المحاولة محاولات قامت بها الطبقات لمحاكاة أسلوب حياة الطبقة المعنية التي تطالب بها. سمات الحالة لفئة الحكام المحاربين ذات التصنيف العالي، مثل كشاتريا والبراهمة، كانت بمثابة مجموعات نموذجية أو أكثر متنقلة.</w:t>
      </w:r>
    </w:p>
    <w:p w14:paraId="287C7A1F" w14:textId="18F51A47" w:rsidR="003C4022" w:rsidRPr="00563823" w:rsidRDefault="003C4022" w:rsidP="00563823">
      <w:pPr>
        <w:bidi/>
        <w:spacing w:after="0" w:line="276"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Pr="00036565">
        <w:rPr>
          <w:rFonts w:ascii="Traditional Arabic" w:hAnsi="Traditional Arabic" w:cs="Traditional Arabic"/>
          <w:b/>
          <w:bCs/>
          <w:sz w:val="32"/>
          <w:szCs w:val="32"/>
          <w:rtl/>
        </w:rPr>
        <w:t xml:space="preserve">التغريب </w:t>
      </w:r>
      <w:r w:rsidRPr="00036565">
        <w:rPr>
          <w:rFonts w:ascii="Traditional Arabic" w:hAnsi="Traditional Arabic" w:cs="Traditional Arabic"/>
          <w:b/>
          <w:bCs/>
          <w:sz w:val="32"/>
          <w:szCs w:val="32"/>
        </w:rPr>
        <w:t>Westernization</w:t>
      </w:r>
      <w:r w:rsidR="00563823">
        <w:rPr>
          <w:rFonts w:ascii="Traditional Arabic" w:hAnsi="Traditional Arabic" w:cs="Traditional Arabic" w:hint="cs"/>
          <w:b/>
          <w:bCs/>
          <w:sz w:val="32"/>
          <w:szCs w:val="32"/>
          <w:rtl/>
        </w:rPr>
        <w:t xml:space="preserve">: </w:t>
      </w:r>
      <w:r w:rsidRPr="00036565">
        <w:rPr>
          <w:rFonts w:ascii="Traditional Arabic" w:hAnsi="Traditional Arabic" w:cs="Traditional Arabic"/>
          <w:sz w:val="32"/>
          <w:szCs w:val="32"/>
          <w:rtl/>
        </w:rPr>
        <w:t>هناك عدد كبير من العوامل المترابطة مسؤولة عن ذلك. لقد أدى التغريب إلى تسريع عملية التنقل بأكثر من طريقة. من ناحية، كانت آلية مرغوبة للحفاظ على الحراك، ومن ناحية أخرى، ولدت الحراك أيضًا لأن "المتغربين" أصبحوا نموذجًا لمحاكاة الآخرين.</w:t>
      </w:r>
      <w:r w:rsidRPr="00036565">
        <w:rPr>
          <w:rStyle w:val="FootnoteReference"/>
          <w:rFonts w:ascii="Traditional Arabic" w:hAnsi="Traditional Arabic" w:cs="Traditional Arabic"/>
          <w:sz w:val="32"/>
          <w:szCs w:val="32"/>
          <w:rtl/>
        </w:rPr>
        <w:footnoteReference w:id="9"/>
      </w:r>
    </w:p>
    <w:p w14:paraId="399BC319" w14:textId="5B925413" w:rsidR="003C4022" w:rsidRPr="00563823" w:rsidRDefault="003C4022" w:rsidP="00563823">
      <w:pPr>
        <w:pStyle w:val="ListParagraph"/>
        <w:bidi/>
        <w:spacing w:after="0" w:line="276" w:lineRule="auto"/>
        <w:ind w:left="0"/>
        <w:jc w:val="both"/>
        <w:rPr>
          <w:rFonts w:ascii="Traditional Arabic" w:hAnsi="Traditional Arabic" w:cs="Traditional Arabic"/>
          <w:b/>
          <w:bCs/>
          <w:sz w:val="32"/>
          <w:szCs w:val="32"/>
        </w:rPr>
      </w:pPr>
      <w:r>
        <w:rPr>
          <w:rFonts w:ascii="Traditional Arabic" w:hAnsi="Traditional Arabic" w:cs="Traditional Arabic" w:hint="cs"/>
          <w:b/>
          <w:bCs/>
          <w:sz w:val="32"/>
          <w:szCs w:val="32"/>
          <w:rtl/>
          <w:lang w:bidi="ar-EG"/>
        </w:rPr>
        <w:t>5-</w:t>
      </w:r>
      <w:r w:rsidRPr="00036565">
        <w:rPr>
          <w:rFonts w:ascii="Traditional Arabic" w:hAnsi="Traditional Arabic" w:cs="Traditional Arabic"/>
          <w:b/>
          <w:bCs/>
          <w:sz w:val="32"/>
          <w:szCs w:val="32"/>
          <w:rtl/>
        </w:rPr>
        <w:t xml:space="preserve"> التصنيع والحراك:</w:t>
      </w:r>
      <w:r w:rsidR="00563823">
        <w:rPr>
          <w:rFonts w:ascii="Traditional Arabic" w:hAnsi="Traditional Arabic" w:cs="Traditional Arabic" w:hint="cs"/>
          <w:b/>
          <w:bCs/>
          <w:sz w:val="32"/>
          <w:szCs w:val="32"/>
          <w:rtl/>
        </w:rPr>
        <w:t xml:space="preserve"> </w:t>
      </w:r>
      <w:r w:rsidRPr="00036565">
        <w:rPr>
          <w:rFonts w:ascii="Traditional Arabic" w:hAnsi="Traditional Arabic" w:cs="Traditional Arabic"/>
          <w:sz w:val="32"/>
          <w:szCs w:val="32"/>
          <w:rtl/>
        </w:rPr>
        <w:t>في تحليل عمليات وأنماط التنقل، لا يُستخدم مصطلح الطبقة بشكل صارم بالمعنى الذي استخدمه ماركس أو فيبر. بل يُنظر إلى الطبقة من حيث التجمعات المهنية لأن المهنة هي جانب من جوانب جدارة الفرد وتعليمه ومؤهلاته وتحدد مكانة الفرد ومكانته وراتبه الذي يؤثر بدوره على نمط أنماط الاستهلاك وفرص الحياة.</w:t>
      </w:r>
    </w:p>
    <w:p w14:paraId="27987B89"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لقد أحدث التصنيع الكثير من التغييرات ليس فقط في المجال الاقتصادي ولكن في جميع مجالات المجتمع. يشار إلى المجتمعات الصناعية بالمجتمعات "المفتوحة" حيث تتوفر فرص التنقل بكثرة. تُعزى معدلات التنقل المرتفعة في المجتمعات الصناعية إلى التغير الاقتصادي السريع الذي يستلزم وجود وظائف مهنية الحراك الجغرافي والاجتماعي لتحقيق الاستخدام الأمثل والفعال للمواهب المتاحة.</w:t>
      </w:r>
    </w:p>
    <w:p w14:paraId="1FC80E5D" w14:textId="77777777" w:rsidR="003C4022" w:rsidRPr="00036565" w:rsidRDefault="003C4022" w:rsidP="003C4022">
      <w:pPr>
        <w:bidi/>
        <w:spacing w:after="0" w:line="276" w:lineRule="auto"/>
        <w:jc w:val="both"/>
        <w:rPr>
          <w:rFonts w:ascii="Traditional Arabic" w:hAnsi="Traditional Arabic" w:cs="Traditional Arabic"/>
          <w:sz w:val="32"/>
          <w:szCs w:val="32"/>
          <w:rtl/>
        </w:rPr>
      </w:pPr>
      <w:r w:rsidRPr="00036565">
        <w:rPr>
          <w:rFonts w:ascii="Traditional Arabic" w:hAnsi="Traditional Arabic" w:cs="Traditional Arabic"/>
          <w:sz w:val="32"/>
          <w:szCs w:val="32"/>
          <w:rtl/>
        </w:rPr>
        <w:lastRenderedPageBreak/>
        <w:t>ولهذا السبب يرى ليبست وزيلتربيرج أن الصناعة تخلق أنماطًا موحدة للتنقل. يركز دنكان وبلو على عدد من العوامل الناتجة عن التصنيع والتي لها تأثير على أنماط التنقل. وهم يرون أن التصنيع يرتبط بالعقلانية المتنامية التي تفسر المعايير العالمية لاختيار ورفع مستوى التقسيم المهني للعمل، وإضعاف روابط القرابة والجوار.</w:t>
      </w:r>
      <w:r w:rsidRPr="00036565">
        <w:rPr>
          <w:rStyle w:val="FootnoteReference"/>
          <w:rFonts w:ascii="Traditional Arabic" w:hAnsi="Traditional Arabic" w:cs="Traditional Arabic"/>
          <w:sz w:val="32"/>
          <w:szCs w:val="32"/>
          <w:rtl/>
        </w:rPr>
        <w:footnoteReference w:id="10"/>
      </w:r>
    </w:p>
    <w:p w14:paraId="58DBC639"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في قلب "النظرية الليبرالية" للصناعة يكمن الاعتقاد بأن الصناعة تعيد تشكيل المجتمع حتماً. تشير النظرية إلى أنه في المجتمعات الصناعية مقارنة بمجتمعات ما قبل الصناعة، يوجد عادة ما يلي:</w:t>
      </w:r>
    </w:p>
    <w:p w14:paraId="02505AA4"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1. معدل مطلق مرتفع ومرتفع في الغالب للحراك الاجتماعي، مما يعني أن معظم التحولات تتم من أوضاع أقل حظًا إلى أوضاع أكثر حظًا.</w:t>
      </w:r>
    </w:p>
    <w:p w14:paraId="5FB20890"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2. معدلات التنقل النسبية أكثر إنصافًا، مما يعني أن الأشخاص من خلفيات مختلفة لديهم فرص أكثر تكافؤًا لتغيير أوضاعهم الاجتماعية.</w:t>
      </w:r>
    </w:p>
    <w:p w14:paraId="4BFF64FD"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3. زيادة مع مرور الوقت في مستويات الحراك المطلق وتكافؤ معدلات الحراك النسبي.</w:t>
      </w:r>
    </w:p>
    <w:p w14:paraId="1FD2253D"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علماء الاجتماع مثل ب.م. بلو وأ.د. أيد دنكان في عام 1967 هذا السيناريو. والأساس المنطقي لذلك هو أن الطبيعة الديناميكية للمجتمعات الصناعية تتطلب إعادة هيكلة مستمرة لتقسيم العمل، وبالتالي تسهيل التنقل. وهذا، إلى جانب التحول في أساس تخصيص الوظائف من التعيين إلى الإنجاز، والتوسع في التعليم والتدريب، يعزز السرد الصناعي لتعزيز التنقل.</w:t>
      </w:r>
    </w:p>
    <w:p w14:paraId="5BEB5B24" w14:textId="0028E534"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 xml:space="preserve">وعلى الرغم من أن ليبست وزيتيربيرج </w:t>
      </w:r>
      <w:proofErr w:type="spellStart"/>
      <w:r w:rsidRPr="00036565">
        <w:rPr>
          <w:rFonts w:ascii="Traditional Arabic" w:hAnsi="Traditional Arabic" w:cs="Traditional Arabic"/>
          <w:sz w:val="32"/>
          <w:szCs w:val="32"/>
        </w:rPr>
        <w:t>Lipset</w:t>
      </w:r>
      <w:proofErr w:type="spellEnd"/>
      <w:r w:rsidRPr="00036565">
        <w:rPr>
          <w:rFonts w:ascii="Traditional Arabic" w:hAnsi="Traditional Arabic" w:cs="Traditional Arabic"/>
          <w:sz w:val="32"/>
          <w:szCs w:val="32"/>
          <w:rtl/>
        </w:rPr>
        <w:t xml:space="preserve"> و</w:t>
      </w:r>
      <w:r w:rsidRPr="00036565">
        <w:rPr>
          <w:rFonts w:ascii="Traditional Arabic" w:hAnsi="Traditional Arabic" w:cs="Traditional Arabic"/>
          <w:sz w:val="32"/>
          <w:szCs w:val="32"/>
        </w:rPr>
        <w:t>Zetterberg</w:t>
      </w:r>
      <w:r w:rsidRPr="00036565">
        <w:rPr>
          <w:rFonts w:ascii="Traditional Arabic" w:hAnsi="Traditional Arabic" w:cs="Traditional Arabic"/>
          <w:sz w:val="32"/>
          <w:szCs w:val="32"/>
          <w:rtl/>
        </w:rPr>
        <w:t xml:space="preserve"> غالبًا ما يرتبطان بالنظرية الليبرالية، إلا أنهما يقدمان في الواقع حجة دقيقة. وهم لا يؤكدون أن التنقل يتصاعد دائمًا مع التقدم الصناعي. وبدلا من ذلك، لاحظوا أنه بمجرد وصول مجتمع ما إلى مستوى </w:t>
      </w:r>
      <w:r w:rsidRPr="003C4022">
        <w:rPr>
          <w:rFonts w:ascii="Traditional Arabic" w:hAnsi="Traditional Arabic" w:cs="Traditional Arabic"/>
          <w:sz w:val="32"/>
          <w:szCs w:val="32"/>
          <w:rtl/>
        </w:rPr>
        <w:t>معين إلى الطبقات العليا</w:t>
      </w:r>
      <w:r>
        <w:rPr>
          <w:rFonts w:ascii="Traditional Arabic" w:hAnsi="Traditional Arabic" w:cs="Traditional Arabic" w:hint="cs"/>
          <w:sz w:val="32"/>
          <w:szCs w:val="32"/>
          <w:rtl/>
        </w:rPr>
        <w:t xml:space="preserve"> </w:t>
      </w:r>
      <w:r w:rsidRPr="003C4022">
        <w:rPr>
          <w:rFonts w:ascii="Traditional Arabic" w:hAnsi="Traditional Arabic" w:cs="Traditional Arabic"/>
          <w:sz w:val="32"/>
          <w:szCs w:val="32"/>
          <w:rtl/>
        </w:rPr>
        <w:t>بفضل التصنيع،</w:t>
      </w:r>
      <w:r w:rsidRPr="00036565">
        <w:rPr>
          <w:rFonts w:ascii="Traditional Arabic" w:hAnsi="Traditional Arabic" w:cs="Traditional Arabic"/>
          <w:sz w:val="32"/>
          <w:szCs w:val="32"/>
          <w:rtl/>
        </w:rPr>
        <w:t xml:space="preserve"> تصبح معدلات الحراك الاجتماعي مرتفعة نسبيا ولكنها لا ترتبط بالضرورة بوتيرة النمو الاقتصادي. وعلى النقيض من المنظور الخطي للانفتاح والتنقل، فإنهم يجادلون بأن التشابه في معدلات التنقل عبر المجتمعات الصناعية هو نتيجة للتغيرات الهيكلية وليس الاتجاه العالمي نحو المزيد من الانفتاح الاجتماعي.</w:t>
      </w:r>
    </w:p>
    <w:p w14:paraId="6F1466F1" w14:textId="77777777" w:rsidR="003C4022" w:rsidRPr="00036565" w:rsidRDefault="003C4022" w:rsidP="003C4022">
      <w:pPr>
        <w:bidi/>
        <w:spacing w:after="0" w:line="276" w:lineRule="auto"/>
        <w:jc w:val="both"/>
        <w:rPr>
          <w:rFonts w:ascii="Traditional Arabic" w:hAnsi="Traditional Arabic" w:cs="Traditional Arabic"/>
          <w:sz w:val="32"/>
          <w:szCs w:val="32"/>
        </w:rPr>
      </w:pPr>
      <w:r w:rsidRPr="00036565">
        <w:rPr>
          <w:rFonts w:ascii="Traditional Arabic" w:hAnsi="Traditional Arabic" w:cs="Traditional Arabic"/>
          <w:sz w:val="32"/>
          <w:szCs w:val="32"/>
          <w:rtl/>
        </w:rPr>
        <w:t xml:space="preserve">ومن أجل تطوير المحادثة، استخدم باحثون مثل فيثيمان، وجونز، وهاوزر أدوات أكثر تطورًا لإعادة تقييم اقتراح ليبست وزيتيربيرج. لقد ميزوا بين المعدلات المطلقة والنسبية للحراك الاجتماعي، وأكدوا الفرضية الأصلية فقط </w:t>
      </w:r>
      <w:r w:rsidRPr="00036565">
        <w:rPr>
          <w:rFonts w:ascii="Traditional Arabic" w:hAnsi="Traditional Arabic" w:cs="Traditional Arabic"/>
          <w:sz w:val="32"/>
          <w:szCs w:val="32"/>
          <w:rtl/>
        </w:rPr>
        <w:lastRenderedPageBreak/>
        <w:t>عند النظر في المعدلات النسبية. وافترضوا أن المعدلات المطلقة، التي تتأثر بعوامل اقتصادية وتكنولوجية متنوعة، لا تظهر تماثلا عبر الحدود الوطنية. وبالتالي، عندما يُنظر إلى التنقل على أنه صافي من التأثيرات الهيكلية، فإن المعدلات النسبية قد تظهر بالفعل تشابهًا دوليًا أكبر.</w:t>
      </w:r>
    </w:p>
    <w:p w14:paraId="08DB209A" w14:textId="3B03F86B" w:rsidR="003C4022" w:rsidRPr="00036565" w:rsidRDefault="00563823" w:rsidP="003C4022">
      <w:pPr>
        <w:bidi/>
        <w:spacing w:after="0"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C4022" w:rsidRPr="00036565">
        <w:rPr>
          <w:rFonts w:ascii="Traditional Arabic" w:hAnsi="Traditional Arabic" w:cs="Traditional Arabic"/>
          <w:sz w:val="32"/>
          <w:szCs w:val="32"/>
          <w:rtl/>
        </w:rPr>
        <w:t>وفي دراسة منفصلة، قام روبرت إريكسون وجون جولدثورب بدراسة اتجاهات الحراك الاجتماعي في تسع دول أوروبية. تناقضت النتائج التي توصلوا إليها مع النظرية الليبرالية للصناعة. لم يتم العثور على اتجاهات متسقة نحو زيادة الحركة الشاملة أو السيولة الاجتماعية. يتحدى بحثهم فكرة أن معدلات التنقل، المطلقة أو النسبية، تتبع اتجاهًا ثابتًا أو تتقارب دوليًا.</w:t>
      </w:r>
      <w:r w:rsidR="003C4022" w:rsidRPr="00036565">
        <w:rPr>
          <w:rStyle w:val="FootnoteReference"/>
          <w:rFonts w:ascii="Traditional Arabic" w:hAnsi="Traditional Arabic" w:cs="Traditional Arabic"/>
          <w:sz w:val="32"/>
          <w:szCs w:val="32"/>
          <w:rtl/>
        </w:rPr>
        <w:footnoteReference w:id="11"/>
      </w:r>
    </w:p>
    <w:p w14:paraId="269175AB" w14:textId="225DE1D6" w:rsidR="003C4022" w:rsidRDefault="00563823" w:rsidP="003C4022">
      <w:pPr>
        <w:jc w:val="both"/>
      </w:pPr>
      <w:r>
        <w:rPr>
          <w:rFonts w:hint="cs"/>
          <w:rtl/>
        </w:rPr>
        <w:t xml:space="preserve"> </w:t>
      </w:r>
    </w:p>
    <w:sectPr w:rsidR="003C4022">
      <w:headerReference w:type="default" r:id="rId8"/>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88751" w14:textId="77777777" w:rsidR="00AA230A" w:rsidRDefault="00AA230A" w:rsidP="003C4022">
      <w:pPr>
        <w:spacing w:after="0" w:line="240" w:lineRule="auto"/>
      </w:pPr>
      <w:r>
        <w:separator/>
      </w:r>
    </w:p>
  </w:endnote>
  <w:endnote w:type="continuationSeparator" w:id="0">
    <w:p w14:paraId="276E2EB8" w14:textId="77777777" w:rsidR="00AA230A" w:rsidRDefault="00AA230A" w:rsidP="003C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23504" w14:textId="77777777" w:rsidR="00AA230A" w:rsidRDefault="00AA230A" w:rsidP="003C4022">
      <w:pPr>
        <w:spacing w:after="0" w:line="240" w:lineRule="auto"/>
      </w:pPr>
      <w:r>
        <w:separator/>
      </w:r>
    </w:p>
  </w:footnote>
  <w:footnote w:type="continuationSeparator" w:id="0">
    <w:p w14:paraId="516BEB37" w14:textId="77777777" w:rsidR="00AA230A" w:rsidRDefault="00AA230A" w:rsidP="003C4022">
      <w:pPr>
        <w:spacing w:after="0" w:line="240" w:lineRule="auto"/>
      </w:pPr>
      <w:r>
        <w:continuationSeparator/>
      </w:r>
    </w:p>
  </w:footnote>
  <w:footnote w:id="1">
    <w:p w14:paraId="597E6F5D" w14:textId="397B56DF" w:rsidR="003C4022" w:rsidRPr="00563823" w:rsidRDefault="003C4022" w:rsidP="003C4022">
      <w:pPr>
        <w:pStyle w:val="FootnoteText"/>
        <w:rPr>
          <w:rFonts w:ascii="Traditional Arabic" w:hAnsi="Traditional Arabic" w:cs="Traditional Arabic"/>
          <w:i/>
          <w:iCs/>
          <w:color w:val="000000" w:themeColor="text1"/>
          <w:sz w:val="22"/>
          <w:szCs w:val="22"/>
          <w:lang w:bidi="ar-DZ"/>
        </w:rPr>
      </w:pPr>
      <w:r w:rsidRPr="003C4022">
        <w:rPr>
          <w:rStyle w:val="FootnoteReference"/>
          <w:rFonts w:ascii="Traditional Arabic" w:hAnsi="Traditional Arabic" w:cs="Traditional Arabic"/>
          <w:color w:val="000000" w:themeColor="text1"/>
          <w:sz w:val="22"/>
          <w:szCs w:val="22"/>
        </w:rPr>
        <w:footnoteRef/>
      </w:r>
      <w:r w:rsidRPr="003C4022">
        <w:rPr>
          <w:rFonts w:ascii="Traditional Arabic" w:hAnsi="Traditional Arabic" w:cs="Traditional Arabic"/>
          <w:color w:val="000000" w:themeColor="text1"/>
          <w:sz w:val="22"/>
          <w:szCs w:val="22"/>
        </w:rPr>
        <w:t xml:space="preserve"> </w:t>
      </w:r>
      <w:proofErr w:type="spellStart"/>
      <w:r w:rsidRPr="00563823">
        <w:rPr>
          <w:rFonts w:ascii="Traditional Arabic" w:hAnsi="Traditional Arabic" w:cs="Traditional Arabic"/>
          <w:i/>
          <w:iCs/>
          <w:color w:val="000000" w:themeColor="text1"/>
          <w:sz w:val="22"/>
          <w:szCs w:val="22"/>
        </w:rPr>
        <w:t>Lenskip</w:t>
      </w:r>
      <w:proofErr w:type="spellEnd"/>
      <w:r w:rsidRPr="00563823">
        <w:rPr>
          <w:rFonts w:ascii="Traditional Arabic" w:hAnsi="Traditional Arabic" w:cs="Traditional Arabic"/>
          <w:i/>
          <w:iCs/>
          <w:color w:val="000000" w:themeColor="text1"/>
          <w:sz w:val="22"/>
          <w:szCs w:val="22"/>
          <w:rtl/>
          <w:lang w:bidi="ar-DZ"/>
        </w:rPr>
        <w:t>:</w:t>
      </w:r>
      <w:r w:rsidRPr="00563823">
        <w:rPr>
          <w:rFonts w:ascii="Traditional Arabic" w:hAnsi="Traditional Arabic" w:cs="Traditional Arabic"/>
          <w:i/>
          <w:iCs/>
          <w:color w:val="000000" w:themeColor="text1"/>
          <w:sz w:val="22"/>
          <w:szCs w:val="22"/>
        </w:rPr>
        <w:t xml:space="preserve"> </w:t>
      </w:r>
      <w:r w:rsidRPr="00563823">
        <w:rPr>
          <w:rStyle w:val="Emphasis"/>
          <w:rFonts w:ascii="Traditional Arabic" w:hAnsi="Traditional Arabic" w:cs="Traditional Arabic"/>
          <w:i w:val="0"/>
          <w:iCs w:val="0"/>
          <w:color w:val="000000" w:themeColor="text1"/>
          <w:sz w:val="22"/>
          <w:szCs w:val="22"/>
          <w:bdr w:val="none" w:sz="0" w:space="0" w:color="auto" w:frame="1"/>
        </w:rPr>
        <w:t xml:space="preserve">Human Societies: An Introduction </w:t>
      </w:r>
      <w:r w:rsidR="00563823" w:rsidRPr="00563823">
        <w:rPr>
          <w:rStyle w:val="Emphasis"/>
          <w:rFonts w:ascii="Traditional Arabic" w:hAnsi="Traditional Arabic" w:cs="Traditional Arabic"/>
          <w:i w:val="0"/>
          <w:iCs w:val="0"/>
          <w:color w:val="000000" w:themeColor="text1"/>
          <w:sz w:val="22"/>
          <w:szCs w:val="22"/>
          <w:bdr w:val="none" w:sz="0" w:space="0" w:color="auto" w:frame="1"/>
        </w:rPr>
        <w:t>to</w:t>
      </w:r>
      <w:r w:rsidRPr="00563823">
        <w:rPr>
          <w:rStyle w:val="Emphasis"/>
          <w:rFonts w:ascii="Traditional Arabic" w:hAnsi="Traditional Arabic" w:cs="Traditional Arabic"/>
          <w:i w:val="0"/>
          <w:iCs w:val="0"/>
          <w:color w:val="000000" w:themeColor="text1"/>
          <w:sz w:val="22"/>
          <w:szCs w:val="22"/>
          <w:bdr w:val="none" w:sz="0" w:space="0" w:color="auto" w:frame="1"/>
        </w:rPr>
        <w:t xml:space="preserve"> Macrosociology</w:t>
      </w:r>
      <w:r w:rsidRPr="00563823">
        <w:rPr>
          <w:rFonts w:ascii="Traditional Arabic" w:hAnsi="Traditional Arabic" w:cs="Traditional Arabic"/>
          <w:i/>
          <w:iCs/>
          <w:color w:val="000000" w:themeColor="text1"/>
          <w:sz w:val="22"/>
          <w:szCs w:val="22"/>
        </w:rPr>
        <w:t xml:space="preserve">. </w:t>
      </w:r>
      <w:proofErr w:type="spellStart"/>
      <w:r w:rsidRPr="00563823">
        <w:rPr>
          <w:rFonts w:ascii="Traditional Arabic" w:hAnsi="Traditional Arabic" w:cs="Traditional Arabic"/>
          <w:color w:val="000000" w:themeColor="text1"/>
          <w:sz w:val="22"/>
          <w:szCs w:val="22"/>
        </w:rPr>
        <w:t>Mcgraw-Hill</w:t>
      </w:r>
      <w:proofErr w:type="spellEnd"/>
      <w:r w:rsidRPr="00563823">
        <w:rPr>
          <w:rFonts w:ascii="Traditional Arabic" w:hAnsi="Traditional Arabic" w:cs="Traditional Arabic"/>
          <w:i/>
          <w:iCs/>
          <w:color w:val="000000" w:themeColor="text1"/>
          <w:sz w:val="22"/>
          <w:szCs w:val="22"/>
        </w:rPr>
        <w:t xml:space="preserve">, </w:t>
      </w:r>
      <w:r w:rsidRPr="00563823">
        <w:rPr>
          <w:rFonts w:ascii="Traditional Arabic" w:hAnsi="Traditional Arabic" w:cs="Traditional Arabic"/>
          <w:i/>
          <w:iCs/>
          <w:color w:val="000000" w:themeColor="text1"/>
          <w:sz w:val="22"/>
          <w:szCs w:val="22"/>
          <w:rtl/>
        </w:rPr>
        <w:t>1974</w:t>
      </w:r>
      <w:r w:rsidRPr="00563823">
        <w:rPr>
          <w:rFonts w:ascii="Traditional Arabic" w:hAnsi="Traditional Arabic" w:cs="Traditional Arabic"/>
          <w:i/>
          <w:iCs/>
          <w:color w:val="000000" w:themeColor="text1"/>
          <w:sz w:val="22"/>
          <w:szCs w:val="22"/>
        </w:rPr>
        <w:t xml:space="preserve">, P </w:t>
      </w:r>
      <w:r w:rsidRPr="00563823">
        <w:rPr>
          <w:rFonts w:ascii="Traditional Arabic" w:hAnsi="Traditional Arabic" w:cs="Traditional Arabic"/>
          <w:i/>
          <w:iCs/>
          <w:color w:val="000000" w:themeColor="text1"/>
          <w:sz w:val="22"/>
          <w:szCs w:val="22"/>
          <w:rtl/>
        </w:rPr>
        <w:t>96</w:t>
      </w:r>
      <w:r w:rsidRPr="00563823">
        <w:rPr>
          <w:rFonts w:ascii="Traditional Arabic" w:hAnsi="Traditional Arabic" w:cs="Traditional Arabic"/>
          <w:i/>
          <w:iCs/>
          <w:color w:val="000000" w:themeColor="text1"/>
          <w:sz w:val="22"/>
          <w:szCs w:val="22"/>
        </w:rPr>
        <w:t>.</w:t>
      </w:r>
    </w:p>
  </w:footnote>
  <w:footnote w:id="2">
    <w:p w14:paraId="62831E32" w14:textId="1662F24C" w:rsidR="003C4022" w:rsidRPr="003C4022" w:rsidRDefault="003C4022" w:rsidP="003C4022">
      <w:pPr>
        <w:pStyle w:val="FootnoteText"/>
        <w:rPr>
          <w:rFonts w:ascii="Traditional Arabic" w:hAnsi="Traditional Arabic" w:cs="Traditional Arabic"/>
          <w:color w:val="000000" w:themeColor="text1"/>
          <w:sz w:val="22"/>
          <w:szCs w:val="22"/>
          <w:lang w:val="fr-FR"/>
        </w:rPr>
      </w:pPr>
      <w:r w:rsidRPr="003C4022">
        <w:rPr>
          <w:rStyle w:val="FootnoteReference"/>
          <w:rFonts w:ascii="Traditional Arabic" w:hAnsi="Traditional Arabic" w:cs="Traditional Arabic"/>
          <w:color w:val="000000" w:themeColor="text1"/>
          <w:sz w:val="22"/>
          <w:szCs w:val="22"/>
        </w:rPr>
        <w:footnoteRef/>
      </w:r>
      <w:r w:rsidRPr="003C4022">
        <w:rPr>
          <w:rFonts w:ascii="Traditional Arabic" w:hAnsi="Traditional Arabic" w:cs="Traditional Arabic"/>
          <w:color w:val="000000" w:themeColor="text1"/>
          <w:sz w:val="22"/>
          <w:szCs w:val="22"/>
        </w:rPr>
        <w:t xml:space="preserve"> Lenski,</w:t>
      </w:r>
      <w:r w:rsidRPr="003C4022">
        <w:rPr>
          <w:rFonts w:ascii="Traditional Arabic" w:hAnsi="Traditional Arabic" w:cs="Traditional Arabic"/>
          <w:color w:val="000000" w:themeColor="text1"/>
          <w:sz w:val="22"/>
          <w:szCs w:val="22"/>
          <w:shd w:val="clear" w:color="auto" w:fill="FFFFFF"/>
        </w:rPr>
        <w:t xml:space="preserve"> Op. </w:t>
      </w:r>
      <w:proofErr w:type="spellStart"/>
      <w:r w:rsidRPr="003C4022">
        <w:rPr>
          <w:rFonts w:ascii="Traditional Arabic" w:hAnsi="Traditional Arabic" w:cs="Traditional Arabic"/>
          <w:color w:val="000000" w:themeColor="text1"/>
          <w:sz w:val="22"/>
          <w:szCs w:val="22"/>
          <w:shd w:val="clear" w:color="auto" w:fill="FFFFFF"/>
          <w:lang w:val="fr-FR"/>
        </w:rPr>
        <w:t>Cit</w:t>
      </w:r>
      <w:proofErr w:type="spellEnd"/>
      <w:r w:rsidRPr="003C4022">
        <w:rPr>
          <w:rFonts w:ascii="Traditional Arabic" w:hAnsi="Traditional Arabic" w:cs="Traditional Arabic"/>
          <w:color w:val="000000" w:themeColor="text1"/>
          <w:sz w:val="22"/>
          <w:szCs w:val="22"/>
          <w:lang w:val="fr-FR"/>
        </w:rPr>
        <w:t xml:space="preserve">, P </w:t>
      </w:r>
      <w:r w:rsidRPr="003C4022">
        <w:rPr>
          <w:rFonts w:ascii="Traditional Arabic" w:hAnsi="Traditional Arabic" w:cs="Traditional Arabic"/>
          <w:color w:val="000000" w:themeColor="text1"/>
          <w:sz w:val="22"/>
          <w:szCs w:val="22"/>
          <w:rtl/>
        </w:rPr>
        <w:t>46</w:t>
      </w:r>
    </w:p>
  </w:footnote>
  <w:footnote w:id="3">
    <w:p w14:paraId="5B2A5514" w14:textId="02AF860F" w:rsidR="003C4022" w:rsidRPr="003C4022" w:rsidRDefault="003C4022" w:rsidP="003C4022">
      <w:pPr>
        <w:pStyle w:val="FootnoteText"/>
        <w:rPr>
          <w:rFonts w:ascii="Traditional Arabic" w:hAnsi="Traditional Arabic" w:cs="Traditional Arabic"/>
          <w:color w:val="000000" w:themeColor="text1"/>
          <w:sz w:val="22"/>
          <w:szCs w:val="22"/>
          <w:rtl/>
          <w:lang w:bidi="ar-DZ"/>
        </w:rPr>
      </w:pPr>
      <w:r w:rsidRPr="003C4022">
        <w:rPr>
          <w:rStyle w:val="FootnoteReference"/>
          <w:rFonts w:ascii="Traditional Arabic" w:hAnsi="Traditional Arabic" w:cs="Traditional Arabic"/>
          <w:color w:val="000000" w:themeColor="text1"/>
          <w:sz w:val="22"/>
          <w:szCs w:val="22"/>
        </w:rPr>
        <w:footnoteRef/>
      </w:r>
      <w:r w:rsidRPr="003C4022">
        <w:rPr>
          <w:rFonts w:ascii="Traditional Arabic" w:hAnsi="Traditional Arabic" w:cs="Traditional Arabic"/>
          <w:color w:val="000000" w:themeColor="text1"/>
          <w:sz w:val="22"/>
          <w:szCs w:val="22"/>
          <w:lang w:val="fr-FR"/>
        </w:rPr>
        <w:t xml:space="preserve"> </w:t>
      </w:r>
      <w:proofErr w:type="spellStart"/>
      <w:r w:rsidRPr="003C4022">
        <w:rPr>
          <w:rFonts w:ascii="Traditional Arabic" w:hAnsi="Traditional Arabic" w:cs="Traditional Arabic"/>
          <w:color w:val="000000" w:themeColor="text1"/>
          <w:sz w:val="22"/>
          <w:szCs w:val="22"/>
          <w:lang w:val="fr-FR"/>
        </w:rPr>
        <w:t>Lenski</w:t>
      </w:r>
      <w:proofErr w:type="spellEnd"/>
      <w:r>
        <w:rPr>
          <w:rFonts w:ascii="Traditional Arabic" w:hAnsi="Traditional Arabic" w:cs="Traditional Arabic"/>
          <w:color w:val="000000" w:themeColor="text1"/>
          <w:sz w:val="22"/>
          <w:szCs w:val="22"/>
          <w:lang w:val="fr-FR" w:bidi="ar-EG"/>
        </w:rPr>
        <w:t xml:space="preserve">, </w:t>
      </w:r>
      <w:r w:rsidRPr="003C4022">
        <w:rPr>
          <w:rFonts w:ascii="Traditional Arabic" w:hAnsi="Traditional Arabic" w:cs="Traditional Arabic"/>
          <w:color w:val="000000" w:themeColor="text1"/>
          <w:sz w:val="22"/>
          <w:szCs w:val="22"/>
          <w:shd w:val="clear" w:color="auto" w:fill="FFFFFF"/>
          <w:lang w:val="fr-FR"/>
        </w:rPr>
        <w:t xml:space="preserve">Op. </w:t>
      </w:r>
      <w:proofErr w:type="spellStart"/>
      <w:r w:rsidRPr="003C4022">
        <w:rPr>
          <w:rFonts w:ascii="Traditional Arabic" w:hAnsi="Traditional Arabic" w:cs="Traditional Arabic"/>
          <w:color w:val="000000" w:themeColor="text1"/>
          <w:sz w:val="22"/>
          <w:szCs w:val="22"/>
          <w:shd w:val="clear" w:color="auto" w:fill="FFFFFF"/>
          <w:lang w:val="fr-FR"/>
        </w:rPr>
        <w:t>Cit</w:t>
      </w:r>
      <w:proofErr w:type="spellEnd"/>
      <w:r w:rsidRPr="003C4022">
        <w:rPr>
          <w:rFonts w:ascii="Traditional Arabic" w:hAnsi="Traditional Arabic" w:cs="Traditional Arabic"/>
          <w:color w:val="000000" w:themeColor="text1"/>
          <w:sz w:val="22"/>
          <w:szCs w:val="22"/>
          <w:shd w:val="clear" w:color="auto" w:fill="FFFFFF"/>
          <w:lang w:val="fr-FR"/>
        </w:rPr>
        <w:t>.</w:t>
      </w:r>
      <w:r w:rsidRPr="003C4022">
        <w:rPr>
          <w:rFonts w:ascii="Traditional Arabic" w:hAnsi="Traditional Arabic" w:cs="Traditional Arabic"/>
          <w:color w:val="000000" w:themeColor="text1"/>
          <w:sz w:val="22"/>
          <w:szCs w:val="22"/>
          <w:rtl/>
        </w:rPr>
        <w:t xml:space="preserve"> </w:t>
      </w:r>
      <w:r w:rsidRPr="003C4022">
        <w:rPr>
          <w:rFonts w:ascii="Traditional Arabic" w:hAnsi="Traditional Arabic" w:cs="Traditional Arabic"/>
          <w:color w:val="000000" w:themeColor="text1"/>
          <w:sz w:val="22"/>
          <w:szCs w:val="22"/>
          <w:lang w:val="fr-FR" w:bidi="ar-DZ"/>
        </w:rPr>
        <w:t>P</w:t>
      </w:r>
      <w:r w:rsidRPr="003C4022">
        <w:rPr>
          <w:rFonts w:ascii="Traditional Arabic" w:hAnsi="Traditional Arabic" w:cs="Traditional Arabic"/>
          <w:color w:val="000000" w:themeColor="text1"/>
          <w:sz w:val="22"/>
          <w:szCs w:val="22"/>
          <w:rtl/>
        </w:rPr>
        <w:t xml:space="preserve"> 165</w:t>
      </w:r>
      <w:r w:rsidRPr="003C4022">
        <w:rPr>
          <w:rFonts w:ascii="Traditional Arabic" w:hAnsi="Traditional Arabic" w:cs="Traditional Arabic"/>
          <w:color w:val="000000" w:themeColor="text1"/>
          <w:sz w:val="22"/>
          <w:szCs w:val="22"/>
          <w:lang w:val="fr-FR"/>
        </w:rPr>
        <w:t>.</w:t>
      </w:r>
    </w:p>
  </w:footnote>
  <w:footnote w:id="4">
    <w:p w14:paraId="020ED635" w14:textId="26BDC0CC" w:rsidR="003C4022" w:rsidRPr="003C4022" w:rsidRDefault="003C4022" w:rsidP="003C4022">
      <w:pPr>
        <w:pStyle w:val="FootnoteText"/>
        <w:rPr>
          <w:rFonts w:ascii="Traditional Arabic" w:hAnsi="Traditional Arabic" w:cs="Traditional Arabic"/>
          <w:color w:val="000000" w:themeColor="text1"/>
          <w:sz w:val="22"/>
          <w:szCs w:val="22"/>
          <w:rtl/>
          <w:lang w:bidi="ar-DZ"/>
        </w:rPr>
      </w:pPr>
      <w:r w:rsidRPr="003C4022">
        <w:rPr>
          <w:rStyle w:val="FootnoteReference"/>
          <w:rFonts w:ascii="Traditional Arabic" w:hAnsi="Traditional Arabic" w:cs="Traditional Arabic"/>
          <w:color w:val="000000" w:themeColor="text1"/>
          <w:sz w:val="22"/>
          <w:szCs w:val="22"/>
        </w:rPr>
        <w:footnoteRef/>
      </w:r>
      <w:r w:rsidRPr="00CF33E2">
        <w:rPr>
          <w:rFonts w:ascii="Traditional Arabic" w:hAnsi="Traditional Arabic" w:cs="Traditional Arabic"/>
          <w:color w:val="000000" w:themeColor="text1"/>
          <w:sz w:val="22"/>
          <w:szCs w:val="22"/>
          <w:lang w:val="fr-FR"/>
        </w:rPr>
        <w:t xml:space="preserve"> </w:t>
      </w:r>
      <w:proofErr w:type="spellStart"/>
      <w:r w:rsidRPr="00CF33E2">
        <w:rPr>
          <w:rFonts w:ascii="Traditional Arabic" w:hAnsi="Traditional Arabic" w:cs="Traditional Arabic"/>
          <w:color w:val="000000" w:themeColor="text1"/>
          <w:sz w:val="22"/>
          <w:szCs w:val="22"/>
          <w:lang w:val="fr-FR"/>
        </w:rPr>
        <w:t>Lenski</w:t>
      </w:r>
      <w:proofErr w:type="spellEnd"/>
      <w:r w:rsidRPr="00CF33E2">
        <w:rPr>
          <w:rFonts w:ascii="Traditional Arabic" w:hAnsi="Traditional Arabic" w:cs="Traditional Arabic"/>
          <w:color w:val="000000" w:themeColor="text1"/>
          <w:sz w:val="22"/>
          <w:szCs w:val="22"/>
          <w:lang w:val="fr-FR"/>
        </w:rPr>
        <w:t>,</w:t>
      </w:r>
      <w:r w:rsidRPr="003C4022">
        <w:rPr>
          <w:rFonts w:ascii="Traditional Arabic" w:hAnsi="Traditional Arabic" w:cs="Traditional Arabic"/>
          <w:color w:val="000000" w:themeColor="text1"/>
          <w:sz w:val="22"/>
          <w:szCs w:val="22"/>
          <w:rtl/>
        </w:rPr>
        <w:t xml:space="preserve"> </w:t>
      </w:r>
      <w:r w:rsidRPr="00CF33E2">
        <w:rPr>
          <w:rFonts w:ascii="Traditional Arabic" w:hAnsi="Traditional Arabic" w:cs="Traditional Arabic"/>
          <w:color w:val="000000" w:themeColor="text1"/>
          <w:sz w:val="22"/>
          <w:szCs w:val="22"/>
          <w:shd w:val="clear" w:color="auto" w:fill="FFFFFF"/>
          <w:lang w:val="fr-FR"/>
        </w:rPr>
        <w:t xml:space="preserve">Op. </w:t>
      </w:r>
      <w:proofErr w:type="spellStart"/>
      <w:r w:rsidRPr="00CF33E2">
        <w:rPr>
          <w:rFonts w:ascii="Traditional Arabic" w:hAnsi="Traditional Arabic" w:cs="Traditional Arabic"/>
          <w:color w:val="000000" w:themeColor="text1"/>
          <w:sz w:val="22"/>
          <w:szCs w:val="22"/>
          <w:shd w:val="clear" w:color="auto" w:fill="FFFFFF"/>
          <w:lang w:val="fr-FR"/>
        </w:rPr>
        <w:t>Cit</w:t>
      </w:r>
      <w:proofErr w:type="spellEnd"/>
      <w:r w:rsidRPr="003C4022">
        <w:rPr>
          <w:rFonts w:ascii="Traditional Arabic" w:hAnsi="Traditional Arabic" w:cs="Traditional Arabic"/>
          <w:color w:val="000000" w:themeColor="text1"/>
          <w:sz w:val="22"/>
          <w:szCs w:val="22"/>
          <w:rtl/>
        </w:rPr>
        <w:t xml:space="preserve">, </w:t>
      </w:r>
      <w:r w:rsidRPr="00CF33E2">
        <w:rPr>
          <w:rFonts w:ascii="Traditional Arabic" w:hAnsi="Traditional Arabic" w:cs="Traditional Arabic"/>
          <w:color w:val="000000" w:themeColor="text1"/>
          <w:sz w:val="22"/>
          <w:szCs w:val="22"/>
          <w:lang w:val="fr-FR" w:bidi="ar-DZ"/>
        </w:rPr>
        <w:t xml:space="preserve">P </w:t>
      </w:r>
      <w:r w:rsidRPr="003C4022">
        <w:rPr>
          <w:rFonts w:ascii="Traditional Arabic" w:hAnsi="Traditional Arabic" w:cs="Traditional Arabic"/>
          <w:color w:val="000000" w:themeColor="text1"/>
          <w:sz w:val="22"/>
          <w:szCs w:val="22"/>
          <w:rtl/>
        </w:rPr>
        <w:t>207</w:t>
      </w:r>
    </w:p>
  </w:footnote>
  <w:footnote w:id="5">
    <w:p w14:paraId="0E3C5EFD" w14:textId="142A3373" w:rsidR="003C4022" w:rsidRPr="003C4022" w:rsidRDefault="003C4022" w:rsidP="003C4022">
      <w:pPr>
        <w:pStyle w:val="FootnoteText"/>
        <w:rPr>
          <w:rFonts w:ascii="Traditional Arabic" w:hAnsi="Traditional Arabic" w:cs="Traditional Arabic"/>
          <w:color w:val="000000" w:themeColor="text1"/>
          <w:sz w:val="22"/>
          <w:szCs w:val="22"/>
          <w:rtl/>
          <w:lang w:bidi="ar-DZ"/>
        </w:rPr>
      </w:pPr>
      <w:r w:rsidRPr="003C4022">
        <w:rPr>
          <w:rStyle w:val="FootnoteReference"/>
          <w:rFonts w:ascii="Traditional Arabic" w:hAnsi="Traditional Arabic" w:cs="Traditional Arabic"/>
          <w:color w:val="000000" w:themeColor="text1"/>
          <w:sz w:val="22"/>
          <w:szCs w:val="22"/>
        </w:rPr>
        <w:footnoteRef/>
      </w:r>
      <w:r w:rsidRPr="003C4022">
        <w:rPr>
          <w:rFonts w:ascii="Traditional Arabic" w:hAnsi="Traditional Arabic" w:cs="Traditional Arabic"/>
          <w:color w:val="000000" w:themeColor="text1"/>
          <w:sz w:val="22"/>
          <w:szCs w:val="22"/>
        </w:rPr>
        <w:t xml:space="preserve"> </w:t>
      </w:r>
      <w:proofErr w:type="spellStart"/>
      <w:r w:rsidRPr="00563823">
        <w:rPr>
          <w:rFonts w:ascii="Traditional Arabic" w:hAnsi="Traditional Arabic" w:cs="Traditional Arabic"/>
          <w:color w:val="000000" w:themeColor="text1"/>
          <w:sz w:val="22"/>
          <w:szCs w:val="22"/>
        </w:rPr>
        <w:t>Openstax</w:t>
      </w:r>
      <w:proofErr w:type="spellEnd"/>
      <w:r w:rsidRPr="00563823">
        <w:rPr>
          <w:rFonts w:ascii="Traditional Arabic" w:hAnsi="Traditional Arabic" w:cs="Traditional Arabic"/>
          <w:color w:val="000000" w:themeColor="text1"/>
          <w:sz w:val="22"/>
          <w:szCs w:val="22"/>
          <w:lang w:bidi="ar-DZ"/>
        </w:rPr>
        <w:t xml:space="preserve">, </w:t>
      </w:r>
      <w:r w:rsidRPr="00563823">
        <w:rPr>
          <w:rStyle w:val="Emphasis"/>
          <w:rFonts w:ascii="Traditional Arabic" w:hAnsi="Traditional Arabic" w:cs="Traditional Arabic"/>
          <w:color w:val="000000" w:themeColor="text1"/>
          <w:sz w:val="22"/>
          <w:szCs w:val="22"/>
          <w:bdr w:val="none" w:sz="0" w:space="0" w:color="auto" w:frame="1"/>
        </w:rPr>
        <w:t xml:space="preserve">Introduction </w:t>
      </w:r>
      <w:r w:rsidR="00563823" w:rsidRPr="00563823">
        <w:rPr>
          <w:rStyle w:val="Emphasis"/>
          <w:rFonts w:ascii="Traditional Arabic" w:hAnsi="Traditional Arabic" w:cs="Traditional Arabic"/>
          <w:color w:val="000000" w:themeColor="text1"/>
          <w:sz w:val="22"/>
          <w:szCs w:val="22"/>
          <w:bdr w:val="none" w:sz="0" w:space="0" w:color="auto" w:frame="1"/>
        </w:rPr>
        <w:t>to</w:t>
      </w:r>
      <w:r w:rsidRPr="00563823">
        <w:rPr>
          <w:rStyle w:val="Emphasis"/>
          <w:rFonts w:ascii="Traditional Arabic" w:hAnsi="Traditional Arabic" w:cs="Traditional Arabic"/>
          <w:color w:val="000000" w:themeColor="text1"/>
          <w:sz w:val="22"/>
          <w:szCs w:val="22"/>
          <w:bdr w:val="none" w:sz="0" w:space="0" w:color="auto" w:frame="1"/>
        </w:rPr>
        <w:t xml:space="preserve"> Sociology, 3rd Edition</w:t>
      </w:r>
      <w:r w:rsidRPr="00563823">
        <w:rPr>
          <w:rFonts w:ascii="Traditional Arabic" w:hAnsi="Traditional Arabic" w:cs="Traditional Arabic"/>
          <w:color w:val="000000" w:themeColor="text1"/>
          <w:sz w:val="22"/>
          <w:szCs w:val="22"/>
        </w:rPr>
        <w:t xml:space="preserve">. Rice </w:t>
      </w:r>
      <w:r w:rsidR="00563823" w:rsidRPr="00563823">
        <w:rPr>
          <w:rFonts w:ascii="Traditional Arabic" w:hAnsi="Traditional Arabic" w:cs="Traditional Arabic"/>
          <w:color w:val="000000" w:themeColor="text1"/>
          <w:sz w:val="22"/>
          <w:szCs w:val="22"/>
        </w:rPr>
        <w:t>University</w:t>
      </w:r>
      <w:r w:rsidR="00563823" w:rsidRPr="00563823">
        <w:rPr>
          <w:rFonts w:ascii="Traditional Arabic" w:hAnsi="Traditional Arabic" w:cs="Traditional Arabic"/>
          <w:color w:val="000000" w:themeColor="text1"/>
          <w:sz w:val="22"/>
          <w:szCs w:val="22"/>
          <w:lang w:bidi="ar-DZ"/>
        </w:rPr>
        <w:t>,</w:t>
      </w:r>
      <w:r w:rsidRPr="00563823">
        <w:rPr>
          <w:rFonts w:ascii="Traditional Arabic" w:hAnsi="Traditional Arabic" w:cs="Traditional Arabic"/>
          <w:color w:val="000000" w:themeColor="text1"/>
          <w:sz w:val="22"/>
          <w:szCs w:val="22"/>
          <w:lang w:bidi="ar-DZ"/>
        </w:rPr>
        <w:t xml:space="preserve"> 2021, </w:t>
      </w:r>
      <w:r w:rsidR="00563823" w:rsidRPr="00563823">
        <w:rPr>
          <w:rFonts w:ascii="Traditional Arabic" w:hAnsi="Traditional Arabic" w:cs="Traditional Arabic"/>
          <w:color w:val="000000" w:themeColor="text1"/>
          <w:sz w:val="22"/>
          <w:szCs w:val="22"/>
          <w:lang w:bidi="ar-DZ"/>
        </w:rPr>
        <w:t>P</w:t>
      </w:r>
      <w:r w:rsidR="00563823" w:rsidRPr="00563823">
        <w:rPr>
          <w:rFonts w:ascii="Traditional Arabic" w:hAnsi="Traditional Arabic" w:cs="Traditional Arabic"/>
          <w:color w:val="000000" w:themeColor="text1"/>
          <w:sz w:val="22"/>
          <w:szCs w:val="22"/>
        </w:rPr>
        <w:t xml:space="preserve"> </w:t>
      </w:r>
      <w:r w:rsidR="00563823" w:rsidRPr="00563823">
        <w:rPr>
          <w:rFonts w:ascii="Traditional Arabic" w:hAnsi="Traditional Arabic" w:cs="Traditional Arabic" w:hint="cs"/>
          <w:color w:val="000000" w:themeColor="text1"/>
          <w:sz w:val="22"/>
          <w:szCs w:val="22"/>
          <w:rtl/>
        </w:rPr>
        <w:t>102</w:t>
      </w:r>
      <w:r w:rsidRPr="00563823">
        <w:rPr>
          <w:rFonts w:ascii="Traditional Arabic" w:hAnsi="Traditional Arabic" w:cs="Traditional Arabic"/>
          <w:color w:val="000000" w:themeColor="text1"/>
          <w:sz w:val="22"/>
          <w:szCs w:val="22"/>
        </w:rPr>
        <w:t>.</w:t>
      </w:r>
    </w:p>
  </w:footnote>
  <w:footnote w:id="6">
    <w:p w14:paraId="19342447" w14:textId="418E6BBD" w:rsidR="003C4022" w:rsidRPr="003C4022" w:rsidRDefault="003C4022">
      <w:pPr>
        <w:pStyle w:val="FootnoteText"/>
        <w:rPr>
          <w:rFonts w:ascii="Traditional Arabic" w:hAnsi="Traditional Arabic" w:cs="Traditional Arabic"/>
          <w:color w:val="000000" w:themeColor="text1"/>
          <w:sz w:val="22"/>
          <w:szCs w:val="22"/>
        </w:rPr>
      </w:pPr>
      <w:r w:rsidRPr="003C4022">
        <w:rPr>
          <w:rStyle w:val="FootnoteReference"/>
          <w:rFonts w:ascii="Traditional Arabic" w:hAnsi="Traditional Arabic" w:cs="Traditional Arabic"/>
          <w:color w:val="000000" w:themeColor="text1"/>
          <w:sz w:val="22"/>
          <w:szCs w:val="22"/>
        </w:rPr>
        <w:footnoteRef/>
      </w:r>
      <w:r w:rsidRPr="003C4022">
        <w:rPr>
          <w:rFonts w:ascii="Traditional Arabic" w:hAnsi="Traditional Arabic" w:cs="Traditional Arabic"/>
          <w:color w:val="000000" w:themeColor="text1"/>
          <w:sz w:val="22"/>
          <w:szCs w:val="22"/>
        </w:rPr>
        <w:t xml:space="preserve"> </w:t>
      </w:r>
      <w:proofErr w:type="spellStart"/>
      <w:r w:rsidRPr="003C4022">
        <w:rPr>
          <w:rFonts w:ascii="Traditional Arabic" w:hAnsi="Traditional Arabic" w:cs="Traditional Arabic"/>
          <w:color w:val="000000" w:themeColor="text1"/>
          <w:sz w:val="22"/>
          <w:szCs w:val="22"/>
        </w:rPr>
        <w:t>Openstax</w:t>
      </w:r>
      <w:proofErr w:type="spellEnd"/>
      <w:r w:rsidRPr="003C4022">
        <w:rPr>
          <w:rFonts w:ascii="Traditional Arabic" w:hAnsi="Traditional Arabic" w:cs="Traditional Arabic"/>
          <w:color w:val="000000" w:themeColor="text1"/>
          <w:sz w:val="22"/>
          <w:szCs w:val="22"/>
          <w:lang w:bidi="ar-DZ"/>
        </w:rPr>
        <w:t xml:space="preserve">, </w:t>
      </w:r>
      <w:bookmarkStart w:id="0" w:name="_Hlk179018604"/>
      <w:r w:rsidRPr="003C4022">
        <w:rPr>
          <w:rFonts w:ascii="Traditional Arabic" w:hAnsi="Traditional Arabic" w:cs="Traditional Arabic"/>
          <w:color w:val="000000" w:themeColor="text1"/>
          <w:sz w:val="22"/>
          <w:szCs w:val="22"/>
          <w:shd w:val="clear" w:color="auto" w:fill="FFFFFF"/>
        </w:rPr>
        <w:t>Op. Cit</w:t>
      </w:r>
      <w:bookmarkEnd w:id="0"/>
      <w:r w:rsidRPr="003C4022">
        <w:rPr>
          <w:rFonts w:ascii="Traditional Arabic" w:hAnsi="Traditional Arabic" w:cs="Traditional Arabic"/>
          <w:color w:val="000000" w:themeColor="text1"/>
          <w:sz w:val="22"/>
          <w:szCs w:val="22"/>
          <w:lang w:bidi="ar-DZ"/>
        </w:rPr>
        <w:t xml:space="preserve">, </w:t>
      </w:r>
      <w:proofErr w:type="gramStart"/>
      <w:r w:rsidRPr="003C4022">
        <w:rPr>
          <w:rFonts w:ascii="Traditional Arabic" w:hAnsi="Traditional Arabic" w:cs="Traditional Arabic"/>
          <w:color w:val="000000" w:themeColor="text1"/>
          <w:sz w:val="22"/>
          <w:szCs w:val="22"/>
          <w:lang w:bidi="ar-DZ"/>
        </w:rPr>
        <w:t>P</w:t>
      </w:r>
      <w:r w:rsidRPr="003C4022">
        <w:rPr>
          <w:rFonts w:ascii="Traditional Arabic" w:hAnsi="Traditional Arabic" w:cs="Traditional Arabic"/>
          <w:color w:val="000000" w:themeColor="text1"/>
          <w:sz w:val="22"/>
          <w:szCs w:val="22"/>
        </w:rPr>
        <w:t xml:space="preserve"> </w:t>
      </w:r>
      <w:r w:rsidRPr="003C4022">
        <w:rPr>
          <w:rFonts w:ascii="Traditional Arabic" w:hAnsi="Traditional Arabic" w:cs="Traditional Arabic"/>
          <w:color w:val="000000" w:themeColor="text1"/>
          <w:sz w:val="22"/>
          <w:szCs w:val="22"/>
          <w:rtl/>
        </w:rPr>
        <w:t xml:space="preserve"> 102</w:t>
      </w:r>
      <w:proofErr w:type="gramEnd"/>
      <w:r w:rsidRPr="003C4022">
        <w:rPr>
          <w:rFonts w:ascii="Traditional Arabic" w:hAnsi="Traditional Arabic" w:cs="Traditional Arabic"/>
          <w:color w:val="000000" w:themeColor="text1"/>
          <w:sz w:val="22"/>
          <w:szCs w:val="22"/>
        </w:rPr>
        <w:t>.</w:t>
      </w:r>
    </w:p>
  </w:footnote>
  <w:footnote w:id="7">
    <w:p w14:paraId="3D14B813" w14:textId="606A79E8" w:rsidR="003C4022" w:rsidRPr="00185CBF" w:rsidRDefault="003C4022" w:rsidP="003C4022">
      <w:pPr>
        <w:pStyle w:val="FootnoteText"/>
        <w:rPr>
          <w:rFonts w:ascii="Traditional Arabic" w:hAnsi="Traditional Arabic" w:cs="Traditional Arabic"/>
          <w:color w:val="000000" w:themeColor="text1"/>
          <w:sz w:val="22"/>
          <w:szCs w:val="22"/>
        </w:rPr>
      </w:pPr>
      <w:r w:rsidRPr="003C4022">
        <w:rPr>
          <w:rStyle w:val="FootnoteReference"/>
          <w:rFonts w:ascii="Traditional Arabic" w:hAnsi="Traditional Arabic" w:cs="Traditional Arabic"/>
          <w:color w:val="000000" w:themeColor="text1"/>
          <w:sz w:val="22"/>
          <w:szCs w:val="22"/>
        </w:rPr>
        <w:footnoteRef/>
      </w:r>
      <w:r w:rsidRPr="003C4022">
        <w:rPr>
          <w:rFonts w:ascii="Traditional Arabic" w:hAnsi="Traditional Arabic" w:cs="Traditional Arabic"/>
          <w:color w:val="000000" w:themeColor="text1"/>
          <w:sz w:val="22"/>
          <w:szCs w:val="22"/>
        </w:rPr>
        <w:t>Abha Chauhan</w:t>
      </w:r>
      <w:r w:rsidRPr="003C4022">
        <w:rPr>
          <w:rFonts w:ascii="Traditional Arabic" w:hAnsi="Traditional Arabic" w:cs="Traditional Arabic"/>
          <w:color w:val="000000" w:themeColor="text1"/>
          <w:sz w:val="22"/>
          <w:szCs w:val="22"/>
          <w:rtl/>
        </w:rPr>
        <w:t>.</w:t>
      </w:r>
      <w:r w:rsidRPr="003C4022">
        <w:rPr>
          <w:rFonts w:ascii="Traditional Arabic" w:hAnsi="Traditional Arabic" w:cs="Traditional Arabic"/>
          <w:color w:val="000000" w:themeColor="text1"/>
          <w:sz w:val="22"/>
          <w:szCs w:val="22"/>
        </w:rPr>
        <w:t xml:space="preserve">  Social Stratification </w:t>
      </w:r>
      <w:r w:rsidR="00CF33E2" w:rsidRPr="003C4022">
        <w:rPr>
          <w:rFonts w:ascii="Traditional Arabic" w:hAnsi="Traditional Arabic" w:cs="Traditional Arabic"/>
          <w:color w:val="000000" w:themeColor="text1"/>
          <w:sz w:val="22"/>
          <w:szCs w:val="22"/>
        </w:rPr>
        <w:t>and</w:t>
      </w:r>
      <w:r w:rsidRPr="003C4022">
        <w:rPr>
          <w:rFonts w:ascii="Traditional Arabic" w:hAnsi="Traditional Arabic" w:cs="Traditional Arabic"/>
          <w:color w:val="000000" w:themeColor="text1"/>
          <w:sz w:val="22"/>
          <w:szCs w:val="22"/>
        </w:rPr>
        <w:t xml:space="preserve"> </w:t>
      </w:r>
      <w:r w:rsidR="00CF33E2" w:rsidRPr="003C4022">
        <w:rPr>
          <w:rFonts w:ascii="Traditional Arabic" w:hAnsi="Traditional Arabic" w:cs="Traditional Arabic"/>
          <w:color w:val="000000" w:themeColor="text1"/>
          <w:sz w:val="22"/>
          <w:szCs w:val="22"/>
        </w:rPr>
        <w:t>Mobility</w:t>
      </w:r>
      <w:r w:rsidRPr="003C4022">
        <w:rPr>
          <w:rFonts w:ascii="Traditional Arabic" w:hAnsi="Traditional Arabic" w:cs="Traditional Arabic"/>
          <w:color w:val="000000" w:themeColor="text1"/>
          <w:sz w:val="22"/>
          <w:szCs w:val="22"/>
          <w:rtl/>
          <w:lang w:val="fr-FR"/>
        </w:rPr>
        <w:t>.</w:t>
      </w:r>
      <w:r w:rsidRPr="003C4022">
        <w:rPr>
          <w:rFonts w:ascii="Traditional Arabic" w:hAnsi="Traditional Arabic" w:cs="Traditional Arabic"/>
          <w:color w:val="000000" w:themeColor="text1"/>
          <w:sz w:val="22"/>
          <w:szCs w:val="22"/>
        </w:rPr>
        <w:t xml:space="preserve"> Directorate Of Distance Education University </w:t>
      </w:r>
      <w:r w:rsidR="00CF33E2" w:rsidRPr="003C4022">
        <w:rPr>
          <w:rFonts w:ascii="Traditional Arabic" w:hAnsi="Traditional Arabic" w:cs="Traditional Arabic"/>
          <w:color w:val="000000" w:themeColor="text1"/>
          <w:sz w:val="22"/>
          <w:szCs w:val="22"/>
        </w:rPr>
        <w:t>of</w:t>
      </w:r>
      <w:r w:rsidRPr="003C4022">
        <w:rPr>
          <w:rFonts w:ascii="Traditional Arabic" w:hAnsi="Traditional Arabic" w:cs="Traditional Arabic"/>
          <w:color w:val="000000" w:themeColor="text1"/>
          <w:sz w:val="22"/>
          <w:szCs w:val="22"/>
        </w:rPr>
        <w:t xml:space="preserve"> Jammu</w:t>
      </w:r>
      <w:r w:rsidRPr="003C4022">
        <w:rPr>
          <w:rFonts w:ascii="Traditional Arabic" w:hAnsi="Traditional Arabic" w:cs="Traditional Arabic"/>
          <w:color w:val="000000" w:themeColor="text1"/>
          <w:sz w:val="22"/>
          <w:szCs w:val="22"/>
          <w:rtl/>
        </w:rPr>
        <w:t>.</w:t>
      </w:r>
      <w:r w:rsidRPr="003C4022">
        <w:rPr>
          <w:rFonts w:ascii="Traditional Arabic" w:hAnsi="Traditional Arabic" w:cs="Traditional Arabic"/>
          <w:color w:val="000000" w:themeColor="text1"/>
          <w:sz w:val="22"/>
          <w:szCs w:val="22"/>
        </w:rPr>
        <w:t xml:space="preserve"> </w:t>
      </w:r>
      <w:r w:rsidRPr="00185CBF">
        <w:rPr>
          <w:rFonts w:ascii="Traditional Arabic" w:hAnsi="Traditional Arabic" w:cs="Traditional Arabic"/>
          <w:color w:val="000000" w:themeColor="text1"/>
          <w:sz w:val="22"/>
          <w:szCs w:val="22"/>
        </w:rPr>
        <w:t>2018</w:t>
      </w:r>
      <w:r w:rsidRPr="003C4022">
        <w:rPr>
          <w:rFonts w:ascii="Traditional Arabic" w:hAnsi="Traditional Arabic" w:cs="Traditional Arabic"/>
          <w:color w:val="000000" w:themeColor="text1"/>
          <w:sz w:val="22"/>
          <w:szCs w:val="22"/>
        </w:rPr>
        <w:t>, Pp</w:t>
      </w:r>
      <w:r w:rsidRPr="00185CBF">
        <w:rPr>
          <w:rFonts w:ascii="Traditional Arabic" w:hAnsi="Traditional Arabic" w:cs="Traditional Arabic"/>
          <w:color w:val="000000" w:themeColor="text1"/>
          <w:sz w:val="22"/>
          <w:szCs w:val="22"/>
        </w:rPr>
        <w:t>167</w:t>
      </w:r>
      <w:r w:rsidRPr="003C4022">
        <w:rPr>
          <w:rFonts w:ascii="Traditional Arabic" w:hAnsi="Traditional Arabic" w:cs="Traditional Arabic"/>
          <w:color w:val="000000" w:themeColor="text1"/>
          <w:sz w:val="22"/>
          <w:szCs w:val="22"/>
          <w:rtl/>
          <w:lang w:val="fr-FR"/>
        </w:rPr>
        <w:t> </w:t>
      </w:r>
      <w:r w:rsidRPr="00185CBF">
        <w:rPr>
          <w:rFonts w:ascii="Traditional Arabic" w:hAnsi="Traditional Arabic" w:cs="Traditional Arabic"/>
          <w:color w:val="000000" w:themeColor="text1"/>
          <w:sz w:val="22"/>
          <w:szCs w:val="22"/>
          <w:lang w:bidi="ar-DZ"/>
        </w:rPr>
        <w:t>,</w:t>
      </w:r>
      <w:r w:rsidRPr="00185CBF">
        <w:rPr>
          <w:rFonts w:ascii="Traditional Arabic" w:hAnsi="Traditional Arabic" w:cs="Traditional Arabic"/>
          <w:color w:val="000000" w:themeColor="text1"/>
          <w:sz w:val="22"/>
          <w:szCs w:val="22"/>
        </w:rPr>
        <w:t>168.</w:t>
      </w:r>
    </w:p>
  </w:footnote>
  <w:footnote w:id="8">
    <w:p w14:paraId="5EE6892B" w14:textId="17E83159" w:rsidR="003C4022" w:rsidRPr="00185CBF" w:rsidRDefault="003C4022" w:rsidP="003C4022">
      <w:pPr>
        <w:pStyle w:val="FootnoteText"/>
        <w:rPr>
          <w:rFonts w:ascii="Traditional Arabic" w:hAnsi="Traditional Arabic" w:cs="Traditional Arabic"/>
          <w:color w:val="000000" w:themeColor="text1"/>
          <w:sz w:val="22"/>
          <w:szCs w:val="22"/>
        </w:rPr>
      </w:pPr>
      <w:r w:rsidRPr="003C4022">
        <w:rPr>
          <w:rStyle w:val="FootnoteReference"/>
          <w:rFonts w:ascii="Traditional Arabic" w:hAnsi="Traditional Arabic" w:cs="Traditional Arabic"/>
          <w:color w:val="000000" w:themeColor="text1"/>
          <w:sz w:val="22"/>
          <w:szCs w:val="22"/>
        </w:rPr>
        <w:footnoteRef/>
      </w:r>
      <w:bookmarkStart w:id="1" w:name="_Hlk179016891"/>
      <w:r w:rsidRPr="003C4022">
        <w:rPr>
          <w:rFonts w:ascii="Traditional Arabic" w:hAnsi="Traditional Arabic" w:cs="Traditional Arabic"/>
          <w:color w:val="000000" w:themeColor="text1"/>
          <w:sz w:val="22"/>
          <w:szCs w:val="22"/>
        </w:rPr>
        <w:t>ibid</w:t>
      </w:r>
      <w:bookmarkEnd w:id="1"/>
      <w:r w:rsidRPr="00185CBF">
        <w:rPr>
          <w:rFonts w:ascii="Traditional Arabic" w:hAnsi="Traditional Arabic" w:cs="Traditional Arabic"/>
          <w:color w:val="000000" w:themeColor="text1"/>
          <w:sz w:val="22"/>
          <w:szCs w:val="22"/>
        </w:rPr>
        <w:t>. P 169.</w:t>
      </w:r>
    </w:p>
  </w:footnote>
  <w:footnote w:id="9">
    <w:p w14:paraId="4D290F69" w14:textId="573E4690" w:rsidR="003C4022" w:rsidRPr="003C4022" w:rsidRDefault="003C4022" w:rsidP="003C4022">
      <w:pPr>
        <w:pStyle w:val="FootnoteText"/>
        <w:rPr>
          <w:rFonts w:ascii="Traditional Arabic" w:hAnsi="Traditional Arabic" w:cs="Traditional Arabic"/>
          <w:color w:val="000000" w:themeColor="text1"/>
          <w:sz w:val="22"/>
          <w:szCs w:val="22"/>
          <w:rtl/>
          <w:lang w:bidi="ar-EG"/>
        </w:rPr>
      </w:pPr>
      <w:r w:rsidRPr="003C4022">
        <w:rPr>
          <w:rStyle w:val="FootnoteReference"/>
          <w:rFonts w:ascii="Traditional Arabic" w:hAnsi="Traditional Arabic" w:cs="Traditional Arabic"/>
          <w:color w:val="000000" w:themeColor="text1"/>
          <w:sz w:val="22"/>
          <w:szCs w:val="22"/>
        </w:rPr>
        <w:footnoteRef/>
      </w:r>
      <w:r w:rsidRPr="00185CBF">
        <w:rPr>
          <w:rFonts w:ascii="Traditional Arabic" w:hAnsi="Traditional Arabic" w:cs="Traditional Arabic"/>
          <w:color w:val="000000" w:themeColor="text1"/>
          <w:sz w:val="22"/>
          <w:szCs w:val="22"/>
        </w:rPr>
        <w:t>Abha Chauhan</w:t>
      </w:r>
      <w:r w:rsidRPr="00185CBF">
        <w:rPr>
          <w:rFonts w:ascii="Traditional Arabic" w:hAnsi="Traditional Arabic" w:cs="Traditional Arabic"/>
          <w:color w:val="000000" w:themeColor="text1"/>
          <w:sz w:val="22"/>
          <w:szCs w:val="22"/>
          <w:lang w:bidi="ar-DZ"/>
        </w:rPr>
        <w:t xml:space="preserve">, </w:t>
      </w:r>
      <w:r w:rsidRPr="00185CBF">
        <w:rPr>
          <w:rFonts w:ascii="Traditional Arabic" w:hAnsi="Traditional Arabic" w:cs="Traditional Arabic"/>
          <w:color w:val="000000" w:themeColor="text1"/>
          <w:sz w:val="22"/>
          <w:szCs w:val="22"/>
          <w:shd w:val="clear" w:color="auto" w:fill="FFFFFF"/>
        </w:rPr>
        <w:t>Op. Cit,</w:t>
      </w:r>
      <w:r w:rsidRPr="00185CBF">
        <w:rPr>
          <w:rFonts w:ascii="Traditional Arabic" w:hAnsi="Traditional Arabic" w:cs="Traditional Arabic"/>
          <w:color w:val="000000" w:themeColor="text1"/>
          <w:sz w:val="22"/>
          <w:szCs w:val="22"/>
        </w:rPr>
        <w:t xml:space="preserve"> </w:t>
      </w:r>
      <w:r w:rsidRPr="003C4022">
        <w:rPr>
          <w:rFonts w:ascii="Traditional Arabic" w:hAnsi="Traditional Arabic" w:cs="Traditional Arabic"/>
          <w:color w:val="000000" w:themeColor="text1"/>
          <w:sz w:val="22"/>
          <w:szCs w:val="22"/>
          <w:rtl/>
          <w:lang w:bidi="ar-EG"/>
        </w:rPr>
        <w:t>169</w:t>
      </w:r>
    </w:p>
  </w:footnote>
  <w:footnote w:id="10">
    <w:p w14:paraId="3B41125A" w14:textId="070AAC22" w:rsidR="003C4022" w:rsidRPr="003C4022" w:rsidRDefault="003C4022" w:rsidP="003C4022">
      <w:pPr>
        <w:pStyle w:val="FootnoteText"/>
        <w:rPr>
          <w:rFonts w:ascii="Traditional Arabic" w:hAnsi="Traditional Arabic" w:cs="Traditional Arabic"/>
          <w:color w:val="000000" w:themeColor="text1"/>
          <w:sz w:val="22"/>
          <w:szCs w:val="22"/>
          <w:rtl/>
          <w:lang w:bidi="ar-EG"/>
        </w:rPr>
      </w:pPr>
      <w:r w:rsidRPr="003C4022">
        <w:rPr>
          <w:rStyle w:val="FootnoteReference"/>
          <w:rFonts w:ascii="Traditional Arabic" w:hAnsi="Traditional Arabic" w:cs="Traditional Arabic"/>
          <w:color w:val="000000" w:themeColor="text1"/>
          <w:sz w:val="22"/>
          <w:szCs w:val="22"/>
        </w:rPr>
        <w:footnoteRef/>
      </w:r>
      <w:r w:rsidRPr="00185CBF">
        <w:rPr>
          <w:rFonts w:ascii="Traditional Arabic" w:hAnsi="Traditional Arabic" w:cs="Traditional Arabic"/>
          <w:color w:val="000000" w:themeColor="text1"/>
          <w:sz w:val="22"/>
          <w:szCs w:val="22"/>
        </w:rPr>
        <w:t xml:space="preserve"> Abha </w:t>
      </w:r>
      <w:proofErr w:type="spellStart"/>
      <w:r w:rsidRPr="00185CBF">
        <w:rPr>
          <w:rFonts w:ascii="Traditional Arabic" w:hAnsi="Traditional Arabic" w:cs="Traditional Arabic"/>
          <w:color w:val="000000" w:themeColor="text1"/>
          <w:sz w:val="22"/>
          <w:szCs w:val="22"/>
        </w:rPr>
        <w:t>Chauha</w:t>
      </w:r>
      <w:proofErr w:type="spellEnd"/>
      <w:r w:rsidRPr="00185CBF">
        <w:rPr>
          <w:rFonts w:ascii="Traditional Arabic" w:hAnsi="Traditional Arabic" w:cs="Traditional Arabic"/>
          <w:color w:val="000000" w:themeColor="text1"/>
          <w:sz w:val="22"/>
          <w:szCs w:val="22"/>
        </w:rPr>
        <w:t>,</w:t>
      </w:r>
      <w:r w:rsidRPr="003C4022">
        <w:rPr>
          <w:rFonts w:ascii="Traditional Arabic" w:hAnsi="Traditional Arabic" w:cs="Traditional Arabic"/>
          <w:color w:val="000000" w:themeColor="text1"/>
          <w:sz w:val="22"/>
          <w:szCs w:val="22"/>
          <w:rtl/>
          <w:lang w:bidi="ar-EG"/>
        </w:rPr>
        <w:t xml:space="preserve"> </w:t>
      </w:r>
      <w:r w:rsidRPr="00185CBF">
        <w:rPr>
          <w:rFonts w:ascii="Traditional Arabic" w:hAnsi="Traditional Arabic" w:cs="Traditional Arabic"/>
          <w:color w:val="000000" w:themeColor="text1"/>
          <w:sz w:val="22"/>
          <w:szCs w:val="22"/>
          <w:shd w:val="clear" w:color="auto" w:fill="FFFFFF"/>
        </w:rPr>
        <w:t xml:space="preserve">Op. </w:t>
      </w:r>
      <w:r w:rsidRPr="003C4022">
        <w:rPr>
          <w:rFonts w:ascii="Traditional Arabic" w:hAnsi="Traditional Arabic" w:cs="Traditional Arabic"/>
          <w:color w:val="000000" w:themeColor="text1"/>
          <w:sz w:val="22"/>
          <w:szCs w:val="22"/>
          <w:shd w:val="clear" w:color="auto" w:fill="FFFFFF"/>
        </w:rPr>
        <w:t>Cit</w:t>
      </w:r>
      <w:r w:rsidRPr="003C4022">
        <w:rPr>
          <w:rFonts w:ascii="Traditional Arabic" w:hAnsi="Traditional Arabic" w:cs="Traditional Arabic"/>
          <w:color w:val="000000" w:themeColor="text1"/>
          <w:sz w:val="22"/>
          <w:szCs w:val="22"/>
          <w:lang w:bidi="ar-EG"/>
        </w:rPr>
        <w:t xml:space="preserve">, P </w:t>
      </w:r>
      <w:r w:rsidRPr="003C4022">
        <w:rPr>
          <w:rFonts w:ascii="Traditional Arabic" w:hAnsi="Traditional Arabic" w:cs="Traditional Arabic"/>
          <w:color w:val="000000" w:themeColor="text1"/>
          <w:sz w:val="22"/>
          <w:szCs w:val="22"/>
          <w:rtl/>
          <w:lang w:bidi="ar-EG"/>
        </w:rPr>
        <w:t>172</w:t>
      </w:r>
    </w:p>
  </w:footnote>
  <w:footnote w:id="11">
    <w:p w14:paraId="4A69CD0D" w14:textId="7B23C18C" w:rsidR="003C4022" w:rsidRPr="00563823" w:rsidRDefault="003C4022" w:rsidP="003C4022">
      <w:pPr>
        <w:pStyle w:val="FootnoteText"/>
        <w:rPr>
          <w:rFonts w:ascii="Traditional Arabic" w:hAnsi="Traditional Arabic" w:cs="Traditional Arabic"/>
          <w:color w:val="000000" w:themeColor="text1"/>
          <w:sz w:val="22"/>
          <w:szCs w:val="22"/>
          <w:lang w:val="fr-FR"/>
        </w:rPr>
      </w:pPr>
      <w:r w:rsidRPr="003C4022">
        <w:rPr>
          <w:rStyle w:val="FootnoteReference"/>
          <w:rFonts w:ascii="Traditional Arabic" w:hAnsi="Traditional Arabic" w:cs="Traditional Arabic"/>
          <w:color w:val="000000" w:themeColor="text1"/>
          <w:sz w:val="22"/>
          <w:szCs w:val="22"/>
        </w:rPr>
        <w:footnoteRef/>
      </w:r>
      <w:r w:rsidRPr="00563823">
        <w:rPr>
          <w:rFonts w:ascii="Traditional Arabic" w:hAnsi="Traditional Arabic" w:cs="Traditional Arabic"/>
          <w:color w:val="000000" w:themeColor="text1"/>
          <w:sz w:val="22"/>
          <w:szCs w:val="22"/>
          <w:lang w:val="fr-FR"/>
        </w:rPr>
        <w:t xml:space="preserve"> </w:t>
      </w:r>
      <w:hyperlink r:id="rId1" w:history="1">
        <w:r w:rsidR="00563823" w:rsidRPr="00563823">
          <w:rPr>
            <w:rStyle w:val="Hyperlink"/>
            <w:rFonts w:ascii="Traditional Arabic" w:hAnsi="Traditional Arabic" w:cs="Traditional Arabic"/>
            <w:sz w:val="22"/>
            <w:szCs w:val="22"/>
            <w:lang w:val="fr-FR"/>
          </w:rPr>
          <w:t>https://upscsociology.in/social-mobility-types-forms-and-theoretical-perspectives/</w:t>
        </w:r>
      </w:hyperlink>
      <w:r w:rsidR="00563823">
        <w:rPr>
          <w:rFonts w:ascii="Traditional Arabic" w:hAnsi="Traditional Arabic" w:cs="Traditional Arabic" w:hint="cs"/>
          <w:color w:val="000000" w:themeColor="text1"/>
          <w:sz w:val="22"/>
          <w:szCs w:val="22"/>
          <w:rtl/>
        </w:rPr>
        <w:t xml:space="preserve">  </w:t>
      </w:r>
      <w:r w:rsidR="00563823">
        <w:rPr>
          <w:rFonts w:ascii="Traditional Arabic" w:hAnsi="Traditional Arabic" w:cs="Traditional Arabic"/>
          <w:color w:val="000000" w:themeColor="text1"/>
          <w:sz w:val="22"/>
          <w:szCs w:val="22"/>
          <w:lang w:val="fr-FR"/>
        </w:rPr>
        <w:t>24/10/2023, 11 :00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607E8" w14:textId="2693CA97" w:rsidR="00732017" w:rsidRPr="00732017" w:rsidRDefault="00732017">
    <w:pPr>
      <w:pStyle w:val="Header"/>
      <w:rPr>
        <w:rFonts w:ascii="Traditional Arabic" w:hAnsi="Traditional Arabic" w:cs="Traditional Arabic"/>
        <w:b/>
        <w:bCs/>
        <w:sz w:val="36"/>
        <w:szCs w:val="36"/>
        <w:rtl/>
        <w:lang w:val="fr-FR" w:bidi="ar-DZ"/>
      </w:rPr>
    </w:pPr>
    <w:r w:rsidRPr="00732017">
      <w:rPr>
        <w:rFonts w:ascii="Traditional Arabic" w:hAnsi="Traditional Arabic" w:cs="Traditional Arabic"/>
        <w:b/>
        <w:bCs/>
        <w:sz w:val="36"/>
        <w:szCs w:val="36"/>
        <w:rtl/>
        <w:lang w:val="fr-FR" w:bidi="ar-EG"/>
      </w:rPr>
      <w:t>الأستاذة: بوشلاغم حنان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C286A"/>
    <w:multiLevelType w:val="hybridMultilevel"/>
    <w:tmpl w:val="957E8F4C"/>
    <w:lvl w:ilvl="0" w:tplc="D7626F4E">
      <w:start w:val="1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03514"/>
    <w:multiLevelType w:val="hybridMultilevel"/>
    <w:tmpl w:val="E508EE78"/>
    <w:lvl w:ilvl="0" w:tplc="2A08D57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37BB4"/>
    <w:multiLevelType w:val="hybridMultilevel"/>
    <w:tmpl w:val="CD0282B4"/>
    <w:lvl w:ilvl="0" w:tplc="4E86C798">
      <w:start w:val="1"/>
      <w:numFmt w:val="bullet"/>
      <w:lvlText w:val=""/>
      <w:lvlJc w:val="left"/>
      <w:pPr>
        <w:ind w:left="1080" w:hanging="360"/>
      </w:pPr>
      <w:rPr>
        <w:rFonts w:ascii="Symbol" w:eastAsia="Calibri" w:hAnsi="Symbol" w:cstheme="majorBidi" w:hint="default"/>
        <w:b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343971949">
    <w:abstractNumId w:val="2"/>
  </w:num>
  <w:num w:numId="2" w16cid:durableId="29958138">
    <w:abstractNumId w:val="0"/>
  </w:num>
  <w:num w:numId="3" w16cid:durableId="236402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22"/>
    <w:rsid w:val="00185CBF"/>
    <w:rsid w:val="00260C6E"/>
    <w:rsid w:val="003C4022"/>
    <w:rsid w:val="00563823"/>
    <w:rsid w:val="00701E80"/>
    <w:rsid w:val="00732017"/>
    <w:rsid w:val="007D5B54"/>
    <w:rsid w:val="00887222"/>
    <w:rsid w:val="008F13DB"/>
    <w:rsid w:val="00AA230A"/>
    <w:rsid w:val="00BB56FC"/>
    <w:rsid w:val="00CF3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F719"/>
  <w15:chartTrackingRefBased/>
  <w15:docId w15:val="{4127FC72-7639-475B-96E2-DE39AE8AE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0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C40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4022"/>
    <w:rPr>
      <w:sz w:val="20"/>
      <w:szCs w:val="20"/>
    </w:rPr>
  </w:style>
  <w:style w:type="character" w:styleId="FootnoteReference">
    <w:name w:val="footnote reference"/>
    <w:basedOn w:val="DefaultParagraphFont"/>
    <w:semiHidden/>
    <w:unhideWhenUsed/>
    <w:rsid w:val="003C4022"/>
    <w:rPr>
      <w:vertAlign w:val="superscript"/>
    </w:rPr>
  </w:style>
  <w:style w:type="character" w:styleId="Hyperlink">
    <w:name w:val="Hyperlink"/>
    <w:basedOn w:val="DefaultParagraphFont"/>
    <w:uiPriority w:val="99"/>
    <w:unhideWhenUsed/>
    <w:rsid w:val="003C4022"/>
    <w:rPr>
      <w:color w:val="0563C1" w:themeColor="hyperlink"/>
      <w:u w:val="single"/>
    </w:rPr>
  </w:style>
  <w:style w:type="paragraph" w:customStyle="1" w:styleId="Normal1">
    <w:name w:val="Normal1"/>
    <w:rsid w:val="003C4022"/>
    <w:pPr>
      <w:spacing w:after="200" w:line="276" w:lineRule="auto"/>
    </w:pPr>
    <w:rPr>
      <w:rFonts w:ascii="Calibri" w:eastAsia="Calibri" w:hAnsi="Calibri" w:cs="Calibri"/>
      <w:color w:val="000000"/>
      <w:kern w:val="0"/>
      <w14:ligatures w14:val="none"/>
    </w:rPr>
  </w:style>
  <w:style w:type="paragraph" w:styleId="ListParagraph">
    <w:name w:val="List Paragraph"/>
    <w:basedOn w:val="Normal"/>
    <w:uiPriority w:val="34"/>
    <w:qFormat/>
    <w:rsid w:val="003C4022"/>
    <w:pPr>
      <w:ind w:left="720"/>
      <w:contextualSpacing/>
    </w:pPr>
  </w:style>
  <w:style w:type="character" w:styleId="Emphasis">
    <w:name w:val="Emphasis"/>
    <w:basedOn w:val="DefaultParagraphFont"/>
    <w:uiPriority w:val="20"/>
    <w:qFormat/>
    <w:rsid w:val="003C4022"/>
    <w:rPr>
      <w:i/>
      <w:iCs/>
    </w:rPr>
  </w:style>
  <w:style w:type="paragraph" w:styleId="Header">
    <w:name w:val="header"/>
    <w:basedOn w:val="Normal"/>
    <w:link w:val="HeaderChar"/>
    <w:uiPriority w:val="99"/>
    <w:unhideWhenUsed/>
    <w:rsid w:val="00732017"/>
    <w:pPr>
      <w:tabs>
        <w:tab w:val="center" w:pos="4320"/>
        <w:tab w:val="right" w:pos="8640"/>
      </w:tabs>
      <w:spacing w:after="0" w:line="240" w:lineRule="auto"/>
    </w:pPr>
  </w:style>
  <w:style w:type="character" w:customStyle="1" w:styleId="HeaderChar">
    <w:name w:val="Header Char"/>
    <w:basedOn w:val="DefaultParagraphFont"/>
    <w:link w:val="Header"/>
    <w:uiPriority w:val="99"/>
    <w:rsid w:val="00732017"/>
  </w:style>
  <w:style w:type="paragraph" w:styleId="Footer">
    <w:name w:val="footer"/>
    <w:basedOn w:val="Normal"/>
    <w:link w:val="FooterChar"/>
    <w:uiPriority w:val="99"/>
    <w:unhideWhenUsed/>
    <w:rsid w:val="00732017"/>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2017"/>
  </w:style>
  <w:style w:type="character" w:styleId="UnresolvedMention">
    <w:name w:val="Unresolved Mention"/>
    <w:basedOn w:val="DefaultParagraphFont"/>
    <w:uiPriority w:val="99"/>
    <w:semiHidden/>
    <w:unhideWhenUsed/>
    <w:rsid w:val="00563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pscsociology.in/social-mobility-types-forms-and-theoretical-perspectiv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F6664-D954-4EAA-8321-4BEC8CC4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3016</Words>
  <Characters>17196</Characters>
  <Application>Microsoft Office Word</Application>
  <DocSecurity>0</DocSecurity>
  <Lines>143</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pc</cp:lastModifiedBy>
  <cp:revision>4</cp:revision>
  <cp:lastPrinted>2023-11-23T17:20:00Z</cp:lastPrinted>
  <dcterms:created xsi:type="dcterms:W3CDTF">2023-11-23T16:45:00Z</dcterms:created>
  <dcterms:modified xsi:type="dcterms:W3CDTF">2024-10-24T09:56:00Z</dcterms:modified>
</cp:coreProperties>
</file>