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FBAB1" w14:textId="717BA5DF" w:rsidR="00E66A4B" w:rsidRDefault="00E66A4B">
      <w:r>
        <w:t>Pharmacologie anti virale anti VIH</w:t>
      </w:r>
    </w:p>
    <w:p w14:paraId="34A61873" w14:textId="77777777" w:rsidR="00E66A4B" w:rsidRPr="00E66A4B" w:rsidRDefault="00E66A4B" w:rsidP="00E66A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A4B">
        <w:rPr>
          <w:rFonts w:ascii="Times New Roman" w:hAnsi="Times New Roman" w:cs="Times New Roman"/>
          <w:sz w:val="24"/>
          <w:szCs w:val="24"/>
        </w:rPr>
        <w:t xml:space="preserve">Chez VIH, la réplication du virus dépend de trois enzymes virales qui constituent le moteur moléculaire de la réplication du </w:t>
      </w:r>
      <w:proofErr w:type="gramStart"/>
      <w:r w:rsidRPr="00E66A4B">
        <w:rPr>
          <w:rFonts w:ascii="Times New Roman" w:hAnsi="Times New Roman" w:cs="Times New Roman"/>
          <w:sz w:val="24"/>
          <w:szCs w:val="24"/>
        </w:rPr>
        <w:t>virus:</w:t>
      </w:r>
      <w:proofErr w:type="gramEnd"/>
      <w:r w:rsidRPr="00E66A4B">
        <w:rPr>
          <w:rFonts w:ascii="Times New Roman" w:hAnsi="Times New Roman" w:cs="Times New Roman"/>
          <w:sz w:val="24"/>
          <w:szCs w:val="24"/>
        </w:rPr>
        <w:t xml:space="preserve"> la transcriptase inverse, la protéase et l'intégrase. Une quatrième activité enzymatique, l'activité </w:t>
      </w:r>
      <w:proofErr w:type="spellStart"/>
      <w:r w:rsidRPr="00E66A4B">
        <w:rPr>
          <w:rFonts w:ascii="Times New Roman" w:hAnsi="Times New Roman" w:cs="Times New Roman"/>
          <w:sz w:val="24"/>
          <w:szCs w:val="24"/>
        </w:rPr>
        <w:t>RNaseH</w:t>
      </w:r>
      <w:proofErr w:type="spellEnd"/>
      <w:r w:rsidRPr="00E66A4B">
        <w:rPr>
          <w:rFonts w:ascii="Times New Roman" w:hAnsi="Times New Roman" w:cs="Times New Roman"/>
          <w:sz w:val="24"/>
          <w:szCs w:val="24"/>
        </w:rPr>
        <w:t xml:space="preserve">, qui est une activité </w:t>
      </w:r>
      <w:proofErr w:type="spellStart"/>
      <w:r w:rsidRPr="00E66A4B">
        <w:rPr>
          <w:rFonts w:ascii="Times New Roman" w:hAnsi="Times New Roman" w:cs="Times New Roman"/>
          <w:sz w:val="24"/>
          <w:szCs w:val="24"/>
        </w:rPr>
        <w:t>nucléasique</w:t>
      </w:r>
      <w:proofErr w:type="spellEnd"/>
      <w:r w:rsidRPr="00E66A4B">
        <w:rPr>
          <w:rFonts w:ascii="Times New Roman" w:hAnsi="Times New Roman" w:cs="Times New Roman"/>
          <w:sz w:val="24"/>
          <w:szCs w:val="24"/>
        </w:rPr>
        <w:t xml:space="preserve"> dégradant l'ARN, est portée par un domaine de la transcriptase inverse. </w:t>
      </w:r>
    </w:p>
    <w:p w14:paraId="6304C55F" w14:textId="77777777" w:rsidR="00E66A4B" w:rsidRPr="00E66A4B" w:rsidRDefault="00E66A4B" w:rsidP="00E66A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973F4B" w14:textId="732DCD0A" w:rsidR="00E66A4B" w:rsidRDefault="00E66A4B" w:rsidP="00E66A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A4B">
        <w:rPr>
          <w:rFonts w:ascii="Times New Roman" w:hAnsi="Times New Roman" w:cs="Times New Roman"/>
          <w:sz w:val="24"/>
          <w:szCs w:val="24"/>
        </w:rPr>
        <w:t xml:space="preserve">   Ces activités enzymatiques sont donc les cibles privilégiées de la pharmacologie</w:t>
      </w:r>
    </w:p>
    <w:p w14:paraId="3F1FDC23" w14:textId="4AC88CE7" w:rsidR="00E66A4B" w:rsidRDefault="00E66A4B" w:rsidP="00E66A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017845" wp14:editId="0E401093">
            <wp:extent cx="2796899" cy="2058987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13" cy="2069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247EC" w14:textId="195FC972" w:rsidR="00E66A4B" w:rsidRDefault="00E66A4B" w:rsidP="00E66A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A4B">
        <w:rPr>
          <w:rFonts w:ascii="Times New Roman" w:hAnsi="Times New Roman" w:cs="Times New Roman"/>
          <w:sz w:val="24"/>
          <w:szCs w:val="24"/>
        </w:rPr>
        <w:t xml:space="preserve">Après la fixation du virus sur le CD4 et l'un des deux </w:t>
      </w:r>
      <w:proofErr w:type="spellStart"/>
      <w:r w:rsidRPr="00E66A4B">
        <w:rPr>
          <w:rFonts w:ascii="Times New Roman" w:hAnsi="Times New Roman" w:cs="Times New Roman"/>
          <w:sz w:val="24"/>
          <w:szCs w:val="24"/>
        </w:rPr>
        <w:t>co-récepteurs</w:t>
      </w:r>
      <w:proofErr w:type="spellEnd"/>
      <w:r w:rsidRPr="00E66A4B">
        <w:rPr>
          <w:rFonts w:ascii="Times New Roman" w:hAnsi="Times New Roman" w:cs="Times New Roman"/>
          <w:sz w:val="24"/>
          <w:szCs w:val="24"/>
        </w:rPr>
        <w:t xml:space="preserve"> (CCR5/CXCR4) puis fusion, Le génome viral sous forme de 2 molécules d'ARN est transcrit par la transcriptase inverse (TI) en </w:t>
      </w:r>
      <w:proofErr w:type="spellStart"/>
      <w:r w:rsidRPr="00E66A4B">
        <w:rPr>
          <w:rFonts w:ascii="Times New Roman" w:hAnsi="Times New Roman" w:cs="Times New Roman"/>
          <w:sz w:val="24"/>
          <w:szCs w:val="24"/>
        </w:rPr>
        <w:t>ADN.Ce</w:t>
      </w:r>
      <w:proofErr w:type="spellEnd"/>
      <w:r w:rsidRPr="00E66A4B">
        <w:rPr>
          <w:rFonts w:ascii="Times New Roman" w:hAnsi="Times New Roman" w:cs="Times New Roman"/>
          <w:sz w:val="24"/>
          <w:szCs w:val="24"/>
        </w:rPr>
        <w:t xml:space="preserve"> dernier migre </w:t>
      </w:r>
      <w:proofErr w:type="spellStart"/>
      <w:r w:rsidRPr="00E66A4B">
        <w:rPr>
          <w:rFonts w:ascii="Times New Roman" w:hAnsi="Times New Roman" w:cs="Times New Roman"/>
          <w:sz w:val="24"/>
          <w:szCs w:val="24"/>
        </w:rPr>
        <w:t>ds</w:t>
      </w:r>
      <w:proofErr w:type="spellEnd"/>
      <w:r w:rsidRPr="00E66A4B">
        <w:rPr>
          <w:rFonts w:ascii="Times New Roman" w:hAnsi="Times New Roman" w:cs="Times New Roman"/>
          <w:sz w:val="24"/>
          <w:szCs w:val="24"/>
        </w:rPr>
        <w:t xml:space="preserve"> le noyau et intègre l’ADN </w:t>
      </w:r>
      <w:proofErr w:type="spellStart"/>
      <w:r w:rsidRPr="00E66A4B">
        <w:rPr>
          <w:rFonts w:ascii="Times New Roman" w:hAnsi="Times New Roman" w:cs="Times New Roman"/>
          <w:sz w:val="24"/>
          <w:szCs w:val="24"/>
        </w:rPr>
        <w:t>cell</w:t>
      </w:r>
      <w:proofErr w:type="spellEnd"/>
      <w:r w:rsidRPr="00E66A4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66A4B">
        <w:rPr>
          <w:rFonts w:ascii="Times New Roman" w:hAnsi="Times New Roman" w:cs="Times New Roman"/>
          <w:sz w:val="24"/>
          <w:szCs w:val="24"/>
        </w:rPr>
        <w:t>par</w:t>
      </w:r>
      <w:proofErr w:type="gramEnd"/>
      <w:r w:rsidRPr="00E66A4B">
        <w:rPr>
          <w:rFonts w:ascii="Times New Roman" w:hAnsi="Times New Roman" w:cs="Times New Roman"/>
          <w:sz w:val="24"/>
          <w:szCs w:val="24"/>
        </w:rPr>
        <w:t xml:space="preserve"> l’</w:t>
      </w:r>
      <w:proofErr w:type="spellStart"/>
      <w:r w:rsidRPr="00E66A4B">
        <w:rPr>
          <w:rFonts w:ascii="Times New Roman" w:hAnsi="Times New Roman" w:cs="Times New Roman"/>
          <w:sz w:val="24"/>
          <w:szCs w:val="24"/>
        </w:rPr>
        <w:t>integrase</w:t>
      </w:r>
      <w:proofErr w:type="spellEnd"/>
      <w:r w:rsidRPr="00E66A4B">
        <w:rPr>
          <w:rFonts w:ascii="Times New Roman" w:hAnsi="Times New Roman" w:cs="Times New Roman"/>
          <w:sz w:val="24"/>
          <w:szCs w:val="24"/>
        </w:rPr>
        <w:t xml:space="preserve"> virale</w:t>
      </w:r>
    </w:p>
    <w:p w14:paraId="07150DD2" w14:textId="77777777" w:rsidR="00E66A4B" w:rsidRPr="00E66A4B" w:rsidRDefault="00E66A4B" w:rsidP="00E66A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A4B">
        <w:rPr>
          <w:rFonts w:ascii="Times New Roman" w:hAnsi="Times New Roman" w:cs="Times New Roman"/>
          <w:sz w:val="24"/>
          <w:szCs w:val="24"/>
        </w:rPr>
        <w:t xml:space="preserve">Après la transcription et la traduction, les ARN viraux et les protéines virales s'assemblent pour former une particule virale qui bourgeonne à la membrane cellulaire qui deviennent infectieuses après maturation par la protéase virale (PR) qui clive les précurseurs </w:t>
      </w:r>
      <w:proofErr w:type="gramStart"/>
      <w:r w:rsidRPr="00E66A4B">
        <w:rPr>
          <w:rFonts w:ascii="Times New Roman" w:hAnsi="Times New Roman" w:cs="Times New Roman"/>
          <w:sz w:val="24"/>
          <w:szCs w:val="24"/>
        </w:rPr>
        <w:t>poly protéiques</w:t>
      </w:r>
      <w:proofErr w:type="gramEnd"/>
      <w:r w:rsidRPr="00E66A4B">
        <w:rPr>
          <w:rFonts w:ascii="Times New Roman" w:hAnsi="Times New Roman" w:cs="Times New Roman"/>
          <w:sz w:val="24"/>
          <w:szCs w:val="24"/>
        </w:rPr>
        <w:t xml:space="preserve"> en protéines structurales et en enzymes.</w:t>
      </w:r>
    </w:p>
    <w:p w14:paraId="0961C3F3" w14:textId="0F78DD1C" w:rsidR="00E66A4B" w:rsidRPr="00E66A4B" w:rsidRDefault="00E66A4B" w:rsidP="00E66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E66A4B">
        <w:t xml:space="preserve"> </w:t>
      </w:r>
      <w:r w:rsidRPr="00E66A4B">
        <w:rPr>
          <w:rFonts w:ascii="Times New Roman" w:hAnsi="Times New Roman" w:cs="Times New Roman"/>
          <w:sz w:val="24"/>
          <w:szCs w:val="24"/>
        </w:rPr>
        <w:t>Les inhibiteurs de transcriptase inverse</w:t>
      </w:r>
    </w:p>
    <w:p w14:paraId="51277DD5" w14:textId="2AC73D7C" w:rsidR="00E66A4B" w:rsidRPr="00E66A4B" w:rsidRDefault="00E66A4B" w:rsidP="00E66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A4B">
        <w:rPr>
          <w:rFonts w:ascii="Times New Roman" w:hAnsi="Times New Roman" w:cs="Times New Roman"/>
          <w:sz w:val="24"/>
          <w:szCs w:val="24"/>
        </w:rPr>
        <w:t xml:space="preserve"> EX :  L‘ azidothymidine (AZT) (utilisé en 1986)</w:t>
      </w:r>
    </w:p>
    <w:p w14:paraId="4298E3BD" w14:textId="388E8E5F" w:rsidR="00E66A4B" w:rsidRPr="00E66A4B" w:rsidRDefault="00E66A4B" w:rsidP="00E66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A4B">
        <w:rPr>
          <w:rFonts w:ascii="Times New Roman" w:hAnsi="Times New Roman" w:cs="Times New Roman"/>
          <w:sz w:val="24"/>
          <w:szCs w:val="24"/>
        </w:rPr>
        <w:t>2. Les inhibiteurs de la protéase virale</w:t>
      </w:r>
    </w:p>
    <w:p w14:paraId="72583DF6" w14:textId="6D5E2A73" w:rsidR="00E66A4B" w:rsidRPr="00E66A4B" w:rsidRDefault="00E66A4B" w:rsidP="00E66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A4B">
        <w:rPr>
          <w:rFonts w:ascii="Times New Roman" w:hAnsi="Times New Roman" w:cs="Times New Roman"/>
          <w:sz w:val="24"/>
          <w:szCs w:val="24"/>
        </w:rPr>
        <w:t xml:space="preserve"> EX :  Inhibiteurs de la protéase virale basés sur 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6A4B">
        <w:rPr>
          <w:rFonts w:ascii="Times New Roman" w:hAnsi="Times New Roman" w:cs="Times New Roman"/>
          <w:sz w:val="24"/>
          <w:szCs w:val="24"/>
        </w:rPr>
        <w:t>analogues de substrat conçus rationnellement non clivables.</w:t>
      </w:r>
    </w:p>
    <w:p w14:paraId="50569845" w14:textId="508F65ED" w:rsidR="00E66A4B" w:rsidRPr="00E66A4B" w:rsidRDefault="00E66A4B" w:rsidP="00E66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A4B">
        <w:rPr>
          <w:rFonts w:ascii="Times New Roman" w:hAnsi="Times New Roman" w:cs="Times New Roman"/>
          <w:sz w:val="24"/>
          <w:szCs w:val="24"/>
        </w:rPr>
        <w:t>3. Les poly thérapies</w:t>
      </w:r>
    </w:p>
    <w:p w14:paraId="0ABFDFF3" w14:textId="28462185" w:rsidR="00E66A4B" w:rsidRDefault="00E66A4B" w:rsidP="00E66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A4B">
        <w:rPr>
          <w:rFonts w:ascii="Times New Roman" w:hAnsi="Times New Roman" w:cs="Times New Roman"/>
          <w:sz w:val="24"/>
          <w:szCs w:val="24"/>
        </w:rPr>
        <w:t xml:space="preserve">   Actuellement utilisent </w:t>
      </w:r>
      <w:proofErr w:type="gramStart"/>
      <w:r w:rsidRPr="00E66A4B">
        <w:rPr>
          <w:rFonts w:ascii="Times New Roman" w:hAnsi="Times New Roman" w:cs="Times New Roman"/>
          <w:sz w:val="24"/>
          <w:szCs w:val="24"/>
        </w:rPr>
        <w:t>des  combinaisons</w:t>
      </w:r>
      <w:proofErr w:type="gramEnd"/>
      <w:r w:rsidRPr="00E66A4B">
        <w:rPr>
          <w:rFonts w:ascii="Times New Roman" w:hAnsi="Times New Roman" w:cs="Times New Roman"/>
          <w:sz w:val="24"/>
          <w:szCs w:val="24"/>
        </w:rPr>
        <w:t xml:space="preserve"> d'antirétroviraux (ARV) dirigés contre la PV et TI.</w:t>
      </w:r>
    </w:p>
    <w:p w14:paraId="5B9BB71A" w14:textId="77777777" w:rsidR="00E66A4B" w:rsidRPr="00E66A4B" w:rsidRDefault="00E66A4B" w:rsidP="00E66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A4B">
        <w:rPr>
          <w:rFonts w:ascii="Times New Roman" w:hAnsi="Times New Roman" w:cs="Times New Roman"/>
          <w:sz w:val="24"/>
          <w:szCs w:val="24"/>
        </w:rPr>
        <w:t>Toutefois, quels que soient les régimes médicamenteux, on observe à plus ou moins brève échéance l'apparition de virus résistants aux ARV.</w:t>
      </w:r>
    </w:p>
    <w:p w14:paraId="7FCC3735" w14:textId="77777777" w:rsidR="00E66A4B" w:rsidRPr="00E66A4B" w:rsidRDefault="00E66A4B" w:rsidP="00E66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80BECA" w14:textId="5A5B1A69" w:rsidR="00E66A4B" w:rsidRDefault="00E66A4B" w:rsidP="00E66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A4B">
        <w:rPr>
          <w:rFonts w:ascii="Times New Roman" w:hAnsi="Times New Roman" w:cs="Times New Roman"/>
          <w:sz w:val="24"/>
          <w:szCs w:val="24"/>
        </w:rPr>
        <w:t xml:space="preserve"> La résistance est liée à la présence de mutations dans la séquence du virus qui modifient la structure de l'une ou des deux enzymes ciblées, se traduisant par le manque d’affinité envers ces médicaments.</w:t>
      </w:r>
    </w:p>
    <w:p w14:paraId="74110D73" w14:textId="3451DB08" w:rsidR="00E66A4B" w:rsidRDefault="00E66A4B" w:rsidP="00E66A4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6A4B">
        <w:rPr>
          <w:rFonts w:ascii="Times New Roman" w:hAnsi="Times New Roman" w:cs="Times New Roman"/>
          <w:b/>
          <w:bCs/>
          <w:sz w:val="24"/>
          <w:szCs w:val="24"/>
        </w:rPr>
        <w:t>Nouveaux inhibiteurs de transcriptase inverse</w:t>
      </w:r>
    </w:p>
    <w:p w14:paraId="434C90F5" w14:textId="1FCC6ECA" w:rsidR="00E66A4B" w:rsidRDefault="00E66A4B" w:rsidP="00E66A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A4B">
        <w:rPr>
          <w:rFonts w:ascii="Times New Roman" w:hAnsi="Times New Roman" w:cs="Times New Roman"/>
          <w:sz w:val="24"/>
          <w:szCs w:val="24"/>
        </w:rPr>
        <w:t xml:space="preserve">Catégorie </w:t>
      </w:r>
      <w:proofErr w:type="gramStart"/>
      <w:r w:rsidRPr="00E66A4B">
        <w:rPr>
          <w:rFonts w:ascii="Times New Roman" w:hAnsi="Times New Roman" w:cs="Times New Roman"/>
          <w:sz w:val="24"/>
          <w:szCs w:val="24"/>
        </w:rPr>
        <w:t>1:</w:t>
      </w:r>
      <w:proofErr w:type="gramEnd"/>
      <w:r w:rsidRPr="00E66A4B">
        <w:rPr>
          <w:rFonts w:ascii="Times New Roman" w:hAnsi="Times New Roman" w:cs="Times New Roman"/>
          <w:sz w:val="24"/>
          <w:szCs w:val="24"/>
        </w:rPr>
        <w:t xml:space="preserve">  comprend les analogues de nucléosides non phosphorylés (inhibiteurs nucléosidiques ou INTI) qui rentrent en compétition avec les substrats naturels de l'enzyme. Ils doivent être phosphorylés avant d’agir</w:t>
      </w:r>
    </w:p>
    <w:p w14:paraId="00C2EC04" w14:textId="2F73C9D8" w:rsidR="00E66A4B" w:rsidRDefault="00E66A4B" w:rsidP="00E66A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A4B">
        <w:rPr>
          <w:rFonts w:ascii="Times New Roman" w:hAnsi="Times New Roman" w:cs="Times New Roman"/>
          <w:sz w:val="24"/>
          <w:szCs w:val="24"/>
        </w:rPr>
        <w:t xml:space="preserve">Citons pour l'exemple deux analogues particulièrement avancés : l‘ </w:t>
      </w:r>
      <w:proofErr w:type="spellStart"/>
      <w:r w:rsidRPr="00E66A4B">
        <w:rPr>
          <w:rFonts w:ascii="Times New Roman" w:hAnsi="Times New Roman" w:cs="Times New Roman"/>
          <w:sz w:val="24"/>
          <w:szCs w:val="24"/>
        </w:rPr>
        <w:t>emtricitabine</w:t>
      </w:r>
      <w:proofErr w:type="spellEnd"/>
      <w:r w:rsidRPr="00E66A4B">
        <w:rPr>
          <w:rFonts w:ascii="Times New Roman" w:hAnsi="Times New Roman" w:cs="Times New Roman"/>
          <w:sz w:val="24"/>
          <w:szCs w:val="24"/>
        </w:rPr>
        <w:t xml:space="preserve"> ou FTC, un analogue de la cytosine, et l‘ </w:t>
      </w:r>
      <w:proofErr w:type="spellStart"/>
      <w:r w:rsidRPr="00E66A4B">
        <w:rPr>
          <w:rFonts w:ascii="Times New Roman" w:hAnsi="Times New Roman" w:cs="Times New Roman"/>
          <w:sz w:val="24"/>
          <w:szCs w:val="24"/>
        </w:rPr>
        <w:t>amdoxovir</w:t>
      </w:r>
      <w:proofErr w:type="spellEnd"/>
      <w:r w:rsidRPr="00E66A4B">
        <w:rPr>
          <w:rFonts w:ascii="Times New Roman" w:hAnsi="Times New Roman" w:cs="Times New Roman"/>
          <w:sz w:val="24"/>
          <w:szCs w:val="24"/>
        </w:rPr>
        <w:t xml:space="preserve"> ou DAPD, un analogue de la guanosine</w:t>
      </w:r>
    </w:p>
    <w:p w14:paraId="08132F86" w14:textId="7B44DEC2" w:rsidR="00E66A4B" w:rsidRDefault="00E66A4B" w:rsidP="00E66A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87F6C8" wp14:editId="7A8C812F">
            <wp:extent cx="3557905" cy="1673376"/>
            <wp:effectExtent l="0" t="0" r="4445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07" cy="1691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8AE36" w14:textId="62BBE90D" w:rsidR="00E66A4B" w:rsidRDefault="00E66A4B" w:rsidP="00E66A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6A4B">
        <w:rPr>
          <w:rFonts w:ascii="Times New Roman" w:hAnsi="Times New Roman" w:cs="Times New Roman"/>
          <w:sz w:val="24"/>
          <w:szCs w:val="24"/>
        </w:rPr>
        <w:t xml:space="preserve">Les analogues phosphorylés, le </w:t>
      </w:r>
      <w:proofErr w:type="spellStart"/>
      <w:proofErr w:type="gramStart"/>
      <w:r w:rsidRPr="00E66A4B">
        <w:rPr>
          <w:rFonts w:ascii="Times New Roman" w:hAnsi="Times New Roman" w:cs="Times New Roman"/>
          <w:sz w:val="24"/>
          <w:szCs w:val="24"/>
        </w:rPr>
        <w:t>ténofovir</w:t>
      </w:r>
      <w:proofErr w:type="spellEnd"/>
      <w:r w:rsidRPr="00E66A4B">
        <w:rPr>
          <w:rFonts w:ascii="Times New Roman" w:hAnsi="Times New Roman" w:cs="Times New Roman"/>
          <w:sz w:val="24"/>
          <w:szCs w:val="24"/>
        </w:rPr>
        <w:t xml:space="preserve">  récemment</w:t>
      </w:r>
      <w:proofErr w:type="gramEnd"/>
      <w:r w:rsidRPr="00E66A4B">
        <w:rPr>
          <w:rFonts w:ascii="Times New Roman" w:hAnsi="Times New Roman" w:cs="Times New Roman"/>
          <w:sz w:val="24"/>
          <w:szCs w:val="24"/>
        </w:rPr>
        <w:t xml:space="preserve"> commercialisé, analogue monophosphorylé qui ne requiert donc que deux étapes cellulaires de phosphorylation. Il est administré sous forme de prodrogue </w:t>
      </w:r>
      <w:proofErr w:type="gramStart"/>
      <w:r w:rsidRPr="00E66A4B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E66A4B">
        <w:rPr>
          <w:rFonts w:ascii="Times New Roman" w:hAnsi="Times New Roman" w:cs="Times New Roman"/>
          <w:sz w:val="24"/>
          <w:szCs w:val="24"/>
        </w:rPr>
        <w:t>Ténofovir</w:t>
      </w:r>
      <w:proofErr w:type="spellEnd"/>
      <w:proofErr w:type="gramEnd"/>
      <w:r w:rsidRPr="00E66A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A4B">
        <w:rPr>
          <w:rFonts w:ascii="Times New Roman" w:hAnsi="Times New Roman" w:cs="Times New Roman"/>
          <w:sz w:val="24"/>
          <w:szCs w:val="24"/>
        </w:rPr>
        <w:t>disoproxil</w:t>
      </w:r>
      <w:proofErr w:type="spellEnd"/>
      <w:r w:rsidRPr="00E66A4B">
        <w:rPr>
          <w:rFonts w:ascii="Times New Roman" w:hAnsi="Times New Roman" w:cs="Times New Roman"/>
          <w:sz w:val="24"/>
          <w:szCs w:val="24"/>
        </w:rPr>
        <w:t>) à cause de sa faible biodisponibilité.</w:t>
      </w:r>
    </w:p>
    <w:p w14:paraId="5DE8899D" w14:textId="1D0B4B55" w:rsidR="00002B93" w:rsidRDefault="00002B93" w:rsidP="00E66A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DE11C1" wp14:editId="5C8FBCBB">
            <wp:extent cx="2757487" cy="1249009"/>
            <wp:effectExtent l="0" t="0" r="508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95" cy="125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5B1AD" w14:textId="3DC91D99" w:rsidR="00002B93" w:rsidRDefault="00002B93" w:rsidP="00002B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2B93">
        <w:rPr>
          <w:rFonts w:ascii="Times New Roman" w:hAnsi="Times New Roman" w:cs="Times New Roman"/>
          <w:b/>
          <w:bCs/>
          <w:sz w:val="24"/>
          <w:szCs w:val="24"/>
        </w:rPr>
        <w:t>Catégorie 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02B93">
        <w:rPr>
          <w:rFonts w:ascii="Times New Roman" w:hAnsi="Times New Roman" w:cs="Times New Roman"/>
          <w:b/>
          <w:bCs/>
          <w:sz w:val="24"/>
          <w:szCs w:val="24"/>
        </w:rPr>
        <w:t xml:space="preserve">Inhibiteurs non compétitifs non nucléosidiques ou INNTI. </w:t>
      </w:r>
      <w:r w:rsidRPr="00002B93">
        <w:rPr>
          <w:rFonts w:ascii="Times New Roman" w:hAnsi="Times New Roman" w:cs="Times New Roman"/>
          <w:sz w:val="24"/>
          <w:szCs w:val="24"/>
        </w:rPr>
        <w:t xml:space="preserve">Trois produits seulement sont actuellement commercialisés, </w:t>
      </w:r>
      <w:proofErr w:type="spellStart"/>
      <w:r w:rsidRPr="00002B93">
        <w:rPr>
          <w:rFonts w:ascii="Times New Roman" w:hAnsi="Times New Roman" w:cs="Times New Roman"/>
          <w:sz w:val="24"/>
          <w:szCs w:val="24"/>
        </w:rPr>
        <w:t>nevirapine</w:t>
      </w:r>
      <w:proofErr w:type="spellEnd"/>
      <w:r w:rsidRPr="00002B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2B93">
        <w:rPr>
          <w:rFonts w:ascii="Times New Roman" w:hAnsi="Times New Roman" w:cs="Times New Roman"/>
          <w:sz w:val="24"/>
          <w:szCs w:val="24"/>
        </w:rPr>
        <w:t>delavirdine</w:t>
      </w:r>
      <w:proofErr w:type="spellEnd"/>
      <w:r w:rsidRPr="00002B93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002B93">
        <w:rPr>
          <w:rFonts w:ascii="Times New Roman" w:hAnsi="Times New Roman" w:cs="Times New Roman"/>
          <w:sz w:val="24"/>
          <w:szCs w:val="24"/>
        </w:rPr>
        <w:t>efavirenz</w:t>
      </w:r>
      <w:proofErr w:type="spellEnd"/>
      <w:r w:rsidRPr="00002B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B93">
        <w:rPr>
          <w:rFonts w:ascii="Times New Roman" w:hAnsi="Times New Roman" w:cs="Times New Roman"/>
          <w:sz w:val="24"/>
          <w:szCs w:val="24"/>
        </w:rPr>
        <w:t>Les INNTI induisent l'émergence de résistances</w:t>
      </w:r>
      <w:r w:rsidRPr="00002B93">
        <w:rPr>
          <w:rFonts w:ascii="Times New Roman" w:hAnsi="Times New Roman" w:cs="Times New Roman"/>
          <w:sz w:val="24"/>
          <w:szCs w:val="24"/>
        </w:rPr>
        <w:t xml:space="preserve"> </w:t>
      </w:r>
      <w:r w:rsidRPr="00002B93">
        <w:rPr>
          <w:rFonts w:ascii="Times New Roman" w:hAnsi="Times New Roman" w:cs="Times New Roman"/>
          <w:sz w:val="24"/>
          <w:szCs w:val="24"/>
        </w:rPr>
        <w:t xml:space="preserve">en quelques semaines. L'apparition de mutations est ralentie par l'utilisation de doses élevées et la combinaison avec des </w:t>
      </w:r>
      <w:proofErr w:type="gramStart"/>
      <w:r w:rsidRPr="00002B93">
        <w:rPr>
          <w:rFonts w:ascii="Times New Roman" w:hAnsi="Times New Roman" w:cs="Times New Roman"/>
          <w:sz w:val="24"/>
          <w:szCs w:val="24"/>
        </w:rPr>
        <w:t>INTI</w:t>
      </w:r>
      <w:r w:rsidRPr="00002B93">
        <w:rPr>
          <w:rFonts w:ascii="Times New Roman" w:hAnsi="Times New Roman" w:cs="Times New Roman"/>
          <w:sz w:val="24"/>
          <w:szCs w:val="24"/>
        </w:rPr>
        <w:t xml:space="preserve"> </w:t>
      </w:r>
      <w:r w:rsidRPr="00002B93">
        <w:rPr>
          <w:rFonts w:ascii="Times New Roman" w:hAnsi="Times New Roman" w:cs="Times New Roman"/>
          <w:sz w:val="24"/>
          <w:szCs w:val="24"/>
        </w:rPr>
        <w:t xml:space="preserve"> Une</w:t>
      </w:r>
      <w:proofErr w:type="gramEnd"/>
      <w:r w:rsidRPr="00002B93">
        <w:rPr>
          <w:rFonts w:ascii="Times New Roman" w:hAnsi="Times New Roman" w:cs="Times New Roman"/>
          <w:sz w:val="24"/>
          <w:szCs w:val="24"/>
        </w:rPr>
        <w:t xml:space="preserve"> seconde génération d‘ INNTI est actuellement en</w:t>
      </w:r>
      <w:r w:rsidRPr="00002B93">
        <w:rPr>
          <w:rFonts w:ascii="Times New Roman" w:hAnsi="Times New Roman" w:cs="Times New Roman"/>
          <w:sz w:val="24"/>
          <w:szCs w:val="24"/>
        </w:rPr>
        <w:t xml:space="preserve"> </w:t>
      </w:r>
      <w:r w:rsidRPr="00002B93">
        <w:rPr>
          <w:rFonts w:ascii="Times New Roman" w:hAnsi="Times New Roman" w:cs="Times New Roman"/>
          <w:sz w:val="24"/>
          <w:szCs w:val="24"/>
        </w:rPr>
        <w:t xml:space="preserve"> développement. Deux produits sont</w:t>
      </w:r>
      <w:r w:rsidRPr="00002B93">
        <w:rPr>
          <w:rFonts w:ascii="Times New Roman" w:hAnsi="Times New Roman" w:cs="Times New Roman"/>
          <w:sz w:val="24"/>
          <w:szCs w:val="24"/>
        </w:rPr>
        <w:t xml:space="preserve"> </w:t>
      </w:r>
      <w:r w:rsidRPr="00002B93">
        <w:rPr>
          <w:rFonts w:ascii="Times New Roman" w:hAnsi="Times New Roman" w:cs="Times New Roman"/>
          <w:sz w:val="24"/>
          <w:szCs w:val="24"/>
        </w:rPr>
        <w:t>particulièrement</w:t>
      </w:r>
      <w:r w:rsidRPr="00002B93">
        <w:rPr>
          <w:rFonts w:ascii="Times New Roman" w:hAnsi="Times New Roman" w:cs="Times New Roman"/>
          <w:sz w:val="24"/>
          <w:szCs w:val="24"/>
        </w:rPr>
        <w:t xml:space="preserve"> </w:t>
      </w:r>
      <w:r w:rsidRPr="00002B93">
        <w:rPr>
          <w:rFonts w:ascii="Times New Roman" w:hAnsi="Times New Roman" w:cs="Times New Roman"/>
          <w:sz w:val="24"/>
          <w:szCs w:val="24"/>
        </w:rPr>
        <w:t>avancés : le DPC083 (5</w:t>
      </w:r>
      <w:proofErr w:type="gramStart"/>
      <w:r w:rsidRPr="00002B93">
        <w:rPr>
          <w:rFonts w:ascii="Times New Roman" w:hAnsi="Times New Roman" w:cs="Times New Roman"/>
          <w:sz w:val="24"/>
          <w:szCs w:val="24"/>
        </w:rPr>
        <w:t xml:space="preserve">) </w:t>
      </w:r>
      <w:r w:rsidRPr="00002B93">
        <w:rPr>
          <w:rFonts w:ascii="Times New Roman" w:hAnsi="Times New Roman" w:cs="Times New Roman"/>
          <w:sz w:val="24"/>
          <w:szCs w:val="24"/>
        </w:rPr>
        <w:t xml:space="preserve"> </w:t>
      </w:r>
      <w:r w:rsidRPr="00002B93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002B93">
        <w:rPr>
          <w:rFonts w:ascii="Times New Roman" w:hAnsi="Times New Roman" w:cs="Times New Roman"/>
          <w:sz w:val="24"/>
          <w:szCs w:val="24"/>
        </w:rPr>
        <w:t xml:space="preserve"> le TMC125 (6)</w:t>
      </w:r>
    </w:p>
    <w:p w14:paraId="67815EF4" w14:textId="4CE7F499" w:rsidR="00002B93" w:rsidRPr="00002B93" w:rsidRDefault="00002B93" w:rsidP="00002B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9A121C" wp14:editId="1810F2A7">
            <wp:extent cx="2228850" cy="128326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27" cy="1296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793D6" w14:textId="7B1E9F26" w:rsidR="00002B93" w:rsidRPr="00E66A4B" w:rsidRDefault="00002B93" w:rsidP="00002B9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2B93">
        <w:rPr>
          <w:rFonts w:ascii="Times New Roman" w:hAnsi="Times New Roman" w:cs="Times New Roman"/>
          <w:b/>
          <w:bCs/>
          <w:sz w:val="24"/>
          <w:szCs w:val="24"/>
        </w:rPr>
        <w:t>Nouveaux inhibiteurs de protéase</w:t>
      </w:r>
    </w:p>
    <w:p w14:paraId="1C22ADE4" w14:textId="013C3604" w:rsidR="00E66A4B" w:rsidRDefault="00002B93" w:rsidP="00002B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B93">
        <w:rPr>
          <w:rFonts w:ascii="Times New Roman" w:hAnsi="Times New Roman" w:cs="Times New Roman"/>
          <w:sz w:val="24"/>
          <w:szCs w:val="24"/>
        </w:rPr>
        <w:t>Les protéines de structures et les enzymes du VIH sont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B93">
        <w:rPr>
          <w:rFonts w:ascii="Times New Roman" w:hAnsi="Times New Roman" w:cs="Times New Roman"/>
          <w:sz w:val="24"/>
          <w:szCs w:val="24"/>
        </w:rPr>
        <w:t>produites à partir des gènes viraux sous forme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B93">
        <w:rPr>
          <w:rFonts w:ascii="Times New Roman" w:hAnsi="Times New Roman" w:cs="Times New Roman"/>
          <w:sz w:val="24"/>
          <w:szCs w:val="24"/>
        </w:rPr>
        <w:t xml:space="preserve">précurseurs </w:t>
      </w:r>
      <w:proofErr w:type="gramStart"/>
      <w:r w:rsidRPr="00002B93">
        <w:rPr>
          <w:rFonts w:ascii="Times New Roman" w:hAnsi="Times New Roman" w:cs="Times New Roman"/>
          <w:sz w:val="24"/>
          <w:szCs w:val="24"/>
        </w:rPr>
        <w:t>poly protéiques</w:t>
      </w:r>
      <w:proofErr w:type="gramEnd"/>
      <w:r w:rsidRPr="00002B93">
        <w:rPr>
          <w:rFonts w:ascii="Times New Roman" w:hAnsi="Times New Roman" w:cs="Times New Roman"/>
          <w:sz w:val="24"/>
          <w:szCs w:val="24"/>
        </w:rPr>
        <w:t>. La formation de nouveaux virus infectieux nécessite le clivage de ces précurseurs en entités fonctionnelles. Cette maturation, réalisée par la protéase virale, est bloquée par les inhibiteurs de celle-ci (IP).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B93">
        <w:rPr>
          <w:rFonts w:ascii="Times New Roman" w:hAnsi="Times New Roman" w:cs="Times New Roman"/>
          <w:sz w:val="24"/>
          <w:szCs w:val="24"/>
        </w:rPr>
        <w:t xml:space="preserve">Tous les IP actuellement utilisés sont des </w:t>
      </w:r>
      <w:proofErr w:type="spellStart"/>
      <w:r w:rsidRPr="00002B93">
        <w:rPr>
          <w:rFonts w:ascii="Times New Roman" w:hAnsi="Times New Roman" w:cs="Times New Roman"/>
          <w:sz w:val="24"/>
          <w:szCs w:val="24"/>
        </w:rPr>
        <w:t>peptido</w:t>
      </w:r>
      <w:proofErr w:type="spellEnd"/>
      <w:r w:rsidRPr="00002B93">
        <w:rPr>
          <w:rFonts w:ascii="Times New Roman" w:hAnsi="Times New Roman" w:cs="Times New Roman"/>
          <w:sz w:val="24"/>
          <w:szCs w:val="24"/>
        </w:rPr>
        <w:t xml:space="preserve">-mimétiques du substrat de la protéase qui contiennent une liaison </w:t>
      </w:r>
      <w:proofErr w:type="spellStart"/>
      <w:r w:rsidRPr="00002B93">
        <w:rPr>
          <w:rFonts w:ascii="Times New Roman" w:hAnsi="Times New Roman" w:cs="Times New Roman"/>
          <w:sz w:val="24"/>
          <w:szCs w:val="24"/>
        </w:rPr>
        <w:t>hydroxyéthylène</w:t>
      </w:r>
      <w:proofErr w:type="spellEnd"/>
      <w:r w:rsidRPr="00002B93">
        <w:rPr>
          <w:rFonts w:ascii="Times New Roman" w:hAnsi="Times New Roman" w:cs="Times New Roman"/>
          <w:sz w:val="24"/>
          <w:szCs w:val="24"/>
        </w:rPr>
        <w:t xml:space="preserve"> à la place d'une liaison peptidique et qui sont par conséquent non clivables.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B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02B93">
        <w:rPr>
          <w:rFonts w:ascii="Times New Roman" w:hAnsi="Times New Roman" w:cs="Times New Roman"/>
          <w:sz w:val="24"/>
          <w:szCs w:val="24"/>
        </w:rPr>
        <w:t>EX:</w:t>
      </w:r>
      <w:proofErr w:type="gramEnd"/>
      <w:r w:rsidRPr="00002B93">
        <w:rPr>
          <w:rFonts w:ascii="Times New Roman" w:hAnsi="Times New Roman" w:cs="Times New Roman"/>
          <w:sz w:val="24"/>
          <w:szCs w:val="24"/>
        </w:rPr>
        <w:t xml:space="preserve"> L‘ </w:t>
      </w:r>
      <w:proofErr w:type="spellStart"/>
      <w:r w:rsidRPr="00002B93">
        <w:rPr>
          <w:rFonts w:ascii="Times New Roman" w:hAnsi="Times New Roman" w:cs="Times New Roman"/>
          <w:sz w:val="24"/>
          <w:szCs w:val="24"/>
        </w:rPr>
        <w:t>azatanavir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(7)</w:t>
      </w:r>
    </w:p>
    <w:p w14:paraId="7DF0EA2D" w14:textId="7187D511" w:rsidR="00002B93" w:rsidRDefault="00002B93" w:rsidP="00002B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B93">
        <w:rPr>
          <w:rFonts w:ascii="Times New Roman" w:hAnsi="Times New Roman" w:cs="Times New Roman"/>
          <w:sz w:val="24"/>
          <w:szCs w:val="24"/>
        </w:rPr>
        <w:t xml:space="preserve">Par ailleurs, comme l'utilisation de </w:t>
      </w:r>
      <w:proofErr w:type="spellStart"/>
      <w:r w:rsidRPr="00002B93">
        <w:rPr>
          <w:rFonts w:ascii="Times New Roman" w:hAnsi="Times New Roman" w:cs="Times New Roman"/>
          <w:sz w:val="24"/>
          <w:szCs w:val="24"/>
        </w:rPr>
        <w:t>peptido</w:t>
      </w:r>
      <w:proofErr w:type="spellEnd"/>
      <w:r w:rsidRPr="00002B93">
        <w:rPr>
          <w:rFonts w:ascii="Times New Roman" w:hAnsi="Times New Roman" w:cs="Times New Roman"/>
          <w:sz w:val="24"/>
          <w:szCs w:val="24"/>
        </w:rPr>
        <w:t>-mimétiques conduit systématiquement à l'apparition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B93">
        <w:rPr>
          <w:rFonts w:ascii="Times New Roman" w:hAnsi="Times New Roman" w:cs="Times New Roman"/>
          <w:sz w:val="24"/>
          <w:szCs w:val="24"/>
        </w:rPr>
        <w:t>résistances croisées, la recherche d'inhibiteurs non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B93">
        <w:rPr>
          <w:rFonts w:ascii="Times New Roman" w:hAnsi="Times New Roman" w:cs="Times New Roman"/>
          <w:sz w:val="24"/>
          <w:szCs w:val="24"/>
        </w:rPr>
        <w:t xml:space="preserve">peptidiques est devenue un objectif majeur. </w:t>
      </w:r>
      <w:proofErr w:type="gramStart"/>
      <w:r w:rsidRPr="00002B93">
        <w:rPr>
          <w:rFonts w:ascii="Times New Roman" w:hAnsi="Times New Roman" w:cs="Times New Roman"/>
          <w:sz w:val="24"/>
          <w:szCs w:val="24"/>
        </w:rPr>
        <w:t>EX:</w:t>
      </w:r>
      <w:proofErr w:type="gramEnd"/>
      <w:r w:rsidRPr="00002B93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002B93">
        <w:rPr>
          <w:rFonts w:ascii="Times New Roman" w:hAnsi="Times New Roman" w:cs="Times New Roman"/>
          <w:sz w:val="24"/>
          <w:szCs w:val="24"/>
        </w:rPr>
        <w:t>tripanavir</w:t>
      </w:r>
      <w:proofErr w:type="spellEnd"/>
      <w:r w:rsidRPr="00002B93">
        <w:rPr>
          <w:rFonts w:ascii="Times New Roman" w:hAnsi="Times New Roman" w:cs="Times New Roman"/>
          <w:sz w:val="24"/>
          <w:szCs w:val="24"/>
        </w:rPr>
        <w:t xml:space="preserve"> (8), le </w:t>
      </w:r>
      <w:proofErr w:type="spellStart"/>
      <w:r w:rsidRPr="00002B93">
        <w:rPr>
          <w:rFonts w:ascii="Times New Roman" w:hAnsi="Times New Roman" w:cs="Times New Roman"/>
          <w:sz w:val="24"/>
          <w:szCs w:val="24"/>
        </w:rPr>
        <w:t>mozenavir</w:t>
      </w:r>
      <w:proofErr w:type="spellEnd"/>
      <w:r w:rsidRPr="00002B93">
        <w:rPr>
          <w:rFonts w:ascii="Times New Roman" w:hAnsi="Times New Roman" w:cs="Times New Roman"/>
          <w:sz w:val="24"/>
          <w:szCs w:val="24"/>
        </w:rPr>
        <w:t xml:space="preserve"> (9)</w:t>
      </w:r>
    </w:p>
    <w:p w14:paraId="0305ECEF" w14:textId="37878710" w:rsidR="00002B93" w:rsidRDefault="00002B93" w:rsidP="00002B93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B7E0AA" wp14:editId="22692A46">
            <wp:extent cx="2746639" cy="1652678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32" cy="1667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F77B4" w14:textId="77777777" w:rsidR="00002B93" w:rsidRPr="00002B93" w:rsidRDefault="00002B93" w:rsidP="00002B93">
      <w:pPr>
        <w:tabs>
          <w:tab w:val="left" w:pos="157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002B93">
        <w:rPr>
          <w:rFonts w:ascii="Times New Roman" w:hAnsi="Times New Roman" w:cs="Times New Roman"/>
          <w:b/>
          <w:bCs/>
          <w:sz w:val="24"/>
          <w:szCs w:val="24"/>
        </w:rPr>
        <w:t>Inhibiteurs de l‘ intégrase virale</w:t>
      </w:r>
    </w:p>
    <w:p w14:paraId="65553D2A" w14:textId="37810B1A" w:rsidR="00002B93" w:rsidRDefault="00002B93" w:rsidP="00002B93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 w:rsidRPr="00002B93">
        <w:rPr>
          <w:rFonts w:ascii="Times New Roman" w:hAnsi="Times New Roman" w:cs="Times New Roman"/>
          <w:sz w:val="24"/>
          <w:szCs w:val="24"/>
        </w:rPr>
        <w:t>L'intégrase est l'enzyme qui catalyse l'insertion covalente du génome viral dans le génome hôte.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02B93">
        <w:rPr>
          <w:rFonts w:ascii="Times New Roman" w:hAnsi="Times New Roman" w:cs="Times New Roman"/>
          <w:sz w:val="24"/>
          <w:szCs w:val="24"/>
        </w:rPr>
        <w:t>EX:</w:t>
      </w:r>
      <w:proofErr w:type="gramEnd"/>
      <w:r w:rsidRPr="00002B93">
        <w:rPr>
          <w:rFonts w:ascii="Times New Roman" w:hAnsi="Times New Roman" w:cs="Times New Roman"/>
          <w:sz w:val="24"/>
          <w:szCs w:val="24"/>
        </w:rPr>
        <w:t xml:space="preserve"> -  la famille des </w:t>
      </w:r>
      <w:proofErr w:type="spellStart"/>
      <w:r w:rsidRPr="00002B93">
        <w:rPr>
          <w:rFonts w:ascii="Times New Roman" w:hAnsi="Times New Roman" w:cs="Times New Roman"/>
          <w:sz w:val="24"/>
          <w:szCs w:val="24"/>
        </w:rPr>
        <w:t>dicétoacides</w:t>
      </w:r>
      <w:proofErr w:type="spellEnd"/>
      <w:r w:rsidRPr="00002B93">
        <w:rPr>
          <w:rFonts w:ascii="Times New Roman" w:hAnsi="Times New Roman" w:cs="Times New Roman"/>
          <w:sz w:val="24"/>
          <w:szCs w:val="24"/>
        </w:rPr>
        <w:t xml:space="preserve"> (L-708,906, S-1360) et le L-870,812 qui est l’optimisation du L-708,906.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B93">
        <w:rPr>
          <w:rFonts w:ascii="Times New Roman" w:hAnsi="Times New Roman" w:cs="Times New Roman"/>
          <w:sz w:val="24"/>
          <w:szCs w:val="24"/>
        </w:rPr>
        <w:t xml:space="preserve">  -  la famille des </w:t>
      </w:r>
      <w:proofErr w:type="spellStart"/>
      <w:r w:rsidRPr="00002B93">
        <w:rPr>
          <w:rFonts w:ascii="Times New Roman" w:hAnsi="Times New Roman" w:cs="Times New Roman"/>
          <w:sz w:val="24"/>
          <w:szCs w:val="24"/>
        </w:rPr>
        <w:t>styrylquinolines</w:t>
      </w:r>
      <w:proofErr w:type="spellEnd"/>
      <w:r w:rsidRPr="00002B93">
        <w:rPr>
          <w:rFonts w:ascii="Times New Roman" w:hAnsi="Times New Roman" w:cs="Times New Roman"/>
          <w:sz w:val="24"/>
          <w:szCs w:val="24"/>
        </w:rPr>
        <w:t xml:space="preserve"> (BA-011).</w:t>
      </w:r>
    </w:p>
    <w:p w14:paraId="6C93BE22" w14:textId="55535BC1" w:rsidR="00002B93" w:rsidRDefault="00002B93" w:rsidP="00002B93">
      <w:pPr>
        <w:tabs>
          <w:tab w:val="left" w:pos="15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7D740F" wp14:editId="04448FF5">
            <wp:extent cx="2519362" cy="1537489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58" cy="1544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3EC54" w14:textId="676717F0" w:rsidR="00002B93" w:rsidRPr="00002B93" w:rsidRDefault="00002B93" w:rsidP="00002B93">
      <w:pPr>
        <w:tabs>
          <w:tab w:val="left" w:pos="157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002B93">
        <w:rPr>
          <w:rFonts w:ascii="Times New Roman" w:hAnsi="Times New Roman" w:cs="Times New Roman"/>
          <w:b/>
          <w:bCs/>
          <w:sz w:val="24"/>
          <w:szCs w:val="24"/>
        </w:rPr>
        <w:lastRenderedPageBreak/>
        <w:t>Les anti inflammatoires</w:t>
      </w:r>
      <w:proofErr w:type="gramEnd"/>
      <w:r w:rsidRPr="00002B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BF87B93" w14:textId="3E633495" w:rsidR="00002B93" w:rsidRPr="00002B93" w:rsidRDefault="00002B93" w:rsidP="00002B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2B93">
        <w:rPr>
          <w:rFonts w:ascii="Times New Roman" w:hAnsi="Times New Roman" w:cs="Times New Roman"/>
          <w:b/>
          <w:bCs/>
          <w:sz w:val="24"/>
          <w:szCs w:val="24"/>
        </w:rPr>
        <w:t xml:space="preserve"> Généralités</w:t>
      </w:r>
    </w:p>
    <w:p w14:paraId="36A99FFA" w14:textId="77777777" w:rsidR="00002B93" w:rsidRPr="00002B93" w:rsidRDefault="00002B93" w:rsidP="00002B93">
      <w:pPr>
        <w:jc w:val="both"/>
        <w:rPr>
          <w:rFonts w:ascii="Times New Roman" w:hAnsi="Times New Roman" w:cs="Times New Roman"/>
          <w:sz w:val="24"/>
          <w:szCs w:val="24"/>
        </w:rPr>
      </w:pPr>
      <w:r w:rsidRPr="00002B93">
        <w:rPr>
          <w:rFonts w:ascii="Times New Roman" w:hAnsi="Times New Roman" w:cs="Times New Roman"/>
          <w:sz w:val="24"/>
          <w:szCs w:val="24"/>
        </w:rPr>
        <w:t xml:space="preserve"> Relation structure-activité</w:t>
      </w:r>
    </w:p>
    <w:p w14:paraId="246B111D" w14:textId="78009E76" w:rsidR="00002B93" w:rsidRDefault="00002B93" w:rsidP="00002B93">
      <w:pPr>
        <w:jc w:val="both"/>
        <w:rPr>
          <w:rFonts w:ascii="Times New Roman" w:hAnsi="Times New Roman" w:cs="Times New Roman"/>
          <w:sz w:val="24"/>
          <w:szCs w:val="24"/>
        </w:rPr>
      </w:pPr>
      <w:r w:rsidRPr="00002B93">
        <w:rPr>
          <w:rFonts w:ascii="Times New Roman" w:hAnsi="Times New Roman" w:cs="Times New Roman"/>
          <w:sz w:val="24"/>
          <w:szCs w:val="24"/>
        </w:rPr>
        <w:t>Les corticostéroïdes naturels synthétisés par les surrénales ont soit une activité glucocorticoïde prédominante, comme le cortisol, soit une activité minéralocorticoïde prédominante, comme l’aldostérone.</w:t>
      </w:r>
    </w:p>
    <w:p w14:paraId="252C320E" w14:textId="77777777" w:rsidR="00434919" w:rsidRPr="00434919" w:rsidRDefault="00434919" w:rsidP="00434919">
      <w:pPr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t xml:space="preserve">  A partir du cortisol ont été synthétisés des dérivés glucocorticoïdes</w:t>
      </w:r>
    </w:p>
    <w:p w14:paraId="2B8916EF" w14:textId="77777777" w:rsidR="00434919" w:rsidRPr="00434919" w:rsidRDefault="00434919" w:rsidP="00434919">
      <w:pPr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t> (</w:t>
      </w:r>
      <w:proofErr w:type="gramStart"/>
      <w:r w:rsidRPr="00434919">
        <w:rPr>
          <w:rFonts w:ascii="Times New Roman" w:hAnsi="Times New Roman" w:cs="Times New Roman"/>
          <w:sz w:val="24"/>
          <w:szCs w:val="24"/>
        </w:rPr>
        <w:t>corticostéroïdes</w:t>
      </w:r>
      <w:proofErr w:type="gramEnd"/>
      <w:r w:rsidRPr="00434919">
        <w:rPr>
          <w:rFonts w:ascii="Times New Roman" w:hAnsi="Times New Roman" w:cs="Times New Roman"/>
          <w:sz w:val="24"/>
          <w:szCs w:val="24"/>
        </w:rPr>
        <w:t>) de durée d’action plus longue, d’activité anti-inflammatoire plus importante et de propriétés minéralocorticoïdes moindre que la molécule mère.</w:t>
      </w:r>
    </w:p>
    <w:p w14:paraId="45418C1E" w14:textId="77777777" w:rsidR="00434919" w:rsidRPr="00434919" w:rsidRDefault="00434919" w:rsidP="004349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CC1BBD" w14:textId="240B1DA7" w:rsidR="00434919" w:rsidRDefault="00434919" w:rsidP="00434919">
      <w:pPr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t xml:space="preserve"> Les glucocorticoïdes présentent une homogénéité de structure avec, sur le noyau </w:t>
      </w:r>
      <w:proofErr w:type="spellStart"/>
      <w:r w:rsidRPr="00434919">
        <w:rPr>
          <w:rFonts w:ascii="Times New Roman" w:hAnsi="Times New Roman" w:cs="Times New Roman"/>
          <w:sz w:val="24"/>
          <w:szCs w:val="24"/>
        </w:rPr>
        <w:t>prégnane</w:t>
      </w:r>
      <w:proofErr w:type="spellEnd"/>
      <w:r w:rsidRPr="00434919">
        <w:rPr>
          <w:rFonts w:ascii="Times New Roman" w:hAnsi="Times New Roman" w:cs="Times New Roman"/>
          <w:sz w:val="24"/>
          <w:szCs w:val="24"/>
        </w:rPr>
        <w:t xml:space="preserve"> des fonctions indispensables à l’activité biologique et des fonctions modulant cette activité</w:t>
      </w:r>
    </w:p>
    <w:p w14:paraId="597D465D" w14:textId="4DA196FA" w:rsidR="00434919" w:rsidRPr="00002B93" w:rsidRDefault="00434919" w:rsidP="004349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6F874D" wp14:editId="5252D420">
            <wp:extent cx="1609725" cy="1135803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64" cy="1150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5B0F1" w14:textId="7F65BFAB" w:rsidR="00434919" w:rsidRDefault="00434919" w:rsidP="0043491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434919">
        <w:rPr>
          <w:rFonts w:ascii="Times New Roman" w:hAnsi="Times New Roman" w:cs="Times New Roman"/>
          <w:b/>
          <w:bCs/>
          <w:sz w:val="24"/>
          <w:szCs w:val="24"/>
        </w:rPr>
        <w:t>Propriétés anti-inflammatoire</w:t>
      </w:r>
      <w:proofErr w:type="gramEnd"/>
      <w:r w:rsidRPr="00434919">
        <w:rPr>
          <w:rFonts w:ascii="Times New Roman" w:hAnsi="Times New Roman" w:cs="Times New Roman"/>
          <w:b/>
          <w:bCs/>
          <w:sz w:val="24"/>
          <w:szCs w:val="24"/>
        </w:rPr>
        <w:t xml:space="preserve"> et immunosuppressive</w:t>
      </w:r>
    </w:p>
    <w:p w14:paraId="7A788D46" w14:textId="515DD8DF" w:rsidR="00434919" w:rsidRPr="00434919" w:rsidRDefault="00434919" w:rsidP="0043491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4919">
        <w:rPr>
          <w:rFonts w:ascii="Times New Roman" w:hAnsi="Times New Roman" w:cs="Times New Roman"/>
          <w:b/>
          <w:bCs/>
          <w:sz w:val="24"/>
          <w:szCs w:val="24"/>
        </w:rPr>
        <w:t>La corticothérapie à visée anti-inflammatoire</w:t>
      </w:r>
    </w:p>
    <w:p w14:paraId="7DD0B475" w14:textId="77777777" w:rsidR="00434919" w:rsidRPr="00434919" w:rsidRDefault="00434919" w:rsidP="00434919">
      <w:pPr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4919">
        <w:rPr>
          <w:rFonts w:ascii="Times New Roman" w:hAnsi="Times New Roman" w:cs="Times New Roman"/>
          <w:sz w:val="24"/>
          <w:szCs w:val="24"/>
        </w:rPr>
        <w:t>cibles</w:t>
      </w:r>
      <w:proofErr w:type="gramEnd"/>
      <w:r w:rsidRPr="00434919">
        <w:rPr>
          <w:rFonts w:ascii="Times New Roman" w:hAnsi="Times New Roman" w:cs="Times New Roman"/>
          <w:sz w:val="24"/>
          <w:szCs w:val="24"/>
        </w:rPr>
        <w:t xml:space="preserve"> cytokiniques</w:t>
      </w:r>
    </w:p>
    <w:p w14:paraId="4AA7DA6C" w14:textId="77777777" w:rsidR="00434919" w:rsidRPr="00434919" w:rsidRDefault="00434919" w:rsidP="00434919">
      <w:pPr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4919">
        <w:rPr>
          <w:rFonts w:ascii="Times New Roman" w:hAnsi="Times New Roman" w:cs="Times New Roman"/>
          <w:sz w:val="24"/>
          <w:szCs w:val="24"/>
        </w:rPr>
        <w:t>cibles</w:t>
      </w:r>
      <w:proofErr w:type="gramEnd"/>
      <w:r w:rsidRPr="00434919">
        <w:rPr>
          <w:rFonts w:ascii="Times New Roman" w:hAnsi="Times New Roman" w:cs="Times New Roman"/>
          <w:sz w:val="24"/>
          <w:szCs w:val="24"/>
        </w:rPr>
        <w:t xml:space="preserve"> cellulaires</w:t>
      </w:r>
    </w:p>
    <w:p w14:paraId="765FFA88" w14:textId="054BC9AF" w:rsidR="00434919" w:rsidRPr="00434919" w:rsidRDefault="00434919" w:rsidP="00434919">
      <w:pPr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t>Les actions des corticoïdes sur les différents acteurs de l’immunité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4919">
        <w:rPr>
          <w:rFonts w:ascii="Times New Roman" w:hAnsi="Times New Roman" w:cs="Times New Roman"/>
          <w:sz w:val="24"/>
          <w:szCs w:val="24"/>
        </w:rPr>
        <w:t>et de l’inflammation sont résumées ci-dessous :</w:t>
      </w:r>
    </w:p>
    <w:p w14:paraId="5B1B3B8D" w14:textId="77777777" w:rsidR="00434919" w:rsidRPr="00434919" w:rsidRDefault="00434919" w:rsidP="00434919">
      <w:pPr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t>Cytokines : inhibition de la transcription des cytokines pro-inflammatoires</w:t>
      </w:r>
    </w:p>
    <w:p w14:paraId="3EC86BB6" w14:textId="77777777" w:rsidR="00434919" w:rsidRPr="00434919" w:rsidRDefault="00434919" w:rsidP="00434919">
      <w:pPr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t>Médiateurs de l’inflammation</w:t>
      </w:r>
      <w:proofErr w:type="gramStart"/>
      <w:r w:rsidRPr="00434919">
        <w:rPr>
          <w:rFonts w:ascii="Times New Roman" w:hAnsi="Times New Roman" w:cs="Times New Roman"/>
          <w:sz w:val="24"/>
          <w:szCs w:val="24"/>
        </w:rPr>
        <w:t> :Diminution</w:t>
      </w:r>
      <w:proofErr w:type="gramEnd"/>
      <w:r w:rsidRPr="00434919">
        <w:rPr>
          <w:rFonts w:ascii="Times New Roman" w:hAnsi="Times New Roman" w:cs="Times New Roman"/>
          <w:sz w:val="24"/>
          <w:szCs w:val="24"/>
        </w:rPr>
        <w:t xml:space="preserve"> de l’acide arachidonique par la synthèse de lipocortine-1 qui possède une activité anti-phospholipase A2.</w:t>
      </w:r>
    </w:p>
    <w:p w14:paraId="29D8F6A4" w14:textId="7D76FB87" w:rsidR="00434919" w:rsidRDefault="00434919" w:rsidP="00434919">
      <w:pPr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t xml:space="preserve"> Molécules d’adhésion : Inhibition de leur expression</w:t>
      </w:r>
    </w:p>
    <w:p w14:paraId="589C6659" w14:textId="64D3F4DC" w:rsidR="00434919" w:rsidRPr="00434919" w:rsidRDefault="00434919" w:rsidP="004349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6EC4F9" wp14:editId="31C9C6BD">
            <wp:extent cx="4733925" cy="3785806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857" cy="3800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AD8E4" w14:textId="0CEFA62F" w:rsidR="00434919" w:rsidRDefault="00434919" w:rsidP="00434919">
      <w:pPr>
        <w:rPr>
          <w:rFonts w:ascii="Times New Roman" w:hAnsi="Times New Roman" w:cs="Times New Roman"/>
          <w:sz w:val="24"/>
          <w:szCs w:val="24"/>
        </w:rPr>
      </w:pPr>
    </w:p>
    <w:p w14:paraId="60C70D26" w14:textId="082A4200" w:rsidR="00434919" w:rsidRDefault="00434919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t>NF-</w:t>
      </w:r>
      <w:proofErr w:type="spellStart"/>
      <w:r w:rsidRPr="00434919">
        <w:rPr>
          <w:rFonts w:ascii="Times New Roman" w:hAnsi="Times New Roman" w:cs="Times New Roman"/>
          <w:sz w:val="24"/>
          <w:szCs w:val="24"/>
        </w:rPr>
        <w:t>κB</w:t>
      </w:r>
      <w:proofErr w:type="spellEnd"/>
      <w:r w:rsidRPr="00434919">
        <w:rPr>
          <w:rFonts w:ascii="Times New Roman" w:hAnsi="Times New Roman" w:cs="Times New Roman"/>
          <w:sz w:val="24"/>
          <w:szCs w:val="24"/>
        </w:rPr>
        <w:t xml:space="preserve"> joue un rôle dans la répression ou l'activation des gènes, et est retenue dans le cytoplasme par la protéine inhibitrice </w:t>
      </w:r>
      <w:proofErr w:type="spellStart"/>
      <w:r w:rsidRPr="00434919">
        <w:rPr>
          <w:rFonts w:ascii="Times New Roman" w:hAnsi="Times New Roman" w:cs="Times New Roman"/>
          <w:sz w:val="24"/>
          <w:szCs w:val="24"/>
        </w:rPr>
        <w:t>IκB</w:t>
      </w:r>
      <w:proofErr w:type="spellEnd"/>
      <w:r w:rsidRPr="00434919">
        <w:rPr>
          <w:rFonts w:ascii="Times New Roman" w:hAnsi="Times New Roman" w:cs="Times New Roman"/>
          <w:sz w:val="24"/>
          <w:szCs w:val="24"/>
        </w:rPr>
        <w:t xml:space="preserve">-α. La dégradation de </w:t>
      </w:r>
      <w:proofErr w:type="spellStart"/>
      <w:r w:rsidRPr="00434919">
        <w:rPr>
          <w:rFonts w:ascii="Times New Roman" w:hAnsi="Times New Roman" w:cs="Times New Roman"/>
          <w:sz w:val="24"/>
          <w:szCs w:val="24"/>
        </w:rPr>
        <w:t>IκB</w:t>
      </w:r>
      <w:proofErr w:type="spellEnd"/>
      <w:r w:rsidRPr="00434919">
        <w:rPr>
          <w:rFonts w:ascii="Times New Roman" w:hAnsi="Times New Roman" w:cs="Times New Roman"/>
          <w:sz w:val="24"/>
          <w:szCs w:val="24"/>
        </w:rPr>
        <w:t>-α par phosphorylation et ubiquitination permet la translocation de NF-</w:t>
      </w:r>
      <w:proofErr w:type="spellStart"/>
      <w:r w:rsidRPr="00434919">
        <w:rPr>
          <w:rFonts w:ascii="Times New Roman" w:hAnsi="Times New Roman" w:cs="Times New Roman"/>
          <w:sz w:val="24"/>
          <w:szCs w:val="24"/>
        </w:rPr>
        <w:t>κB</w:t>
      </w:r>
      <w:proofErr w:type="spellEnd"/>
      <w:r w:rsidRPr="00434919">
        <w:rPr>
          <w:rFonts w:ascii="Times New Roman" w:hAnsi="Times New Roman" w:cs="Times New Roman"/>
          <w:sz w:val="24"/>
          <w:szCs w:val="24"/>
        </w:rPr>
        <w:t xml:space="preserve"> jusqu'au noyau et l'activation de la transcription des gènes cibles. NF-</w:t>
      </w:r>
      <w:proofErr w:type="spellStart"/>
      <w:r w:rsidRPr="00434919">
        <w:rPr>
          <w:rFonts w:ascii="Times New Roman" w:hAnsi="Times New Roman" w:cs="Times New Roman"/>
          <w:sz w:val="24"/>
          <w:szCs w:val="24"/>
        </w:rPr>
        <w:t>κB</w:t>
      </w:r>
      <w:proofErr w:type="spellEnd"/>
      <w:r w:rsidRPr="00434919">
        <w:rPr>
          <w:rFonts w:ascii="Times New Roman" w:hAnsi="Times New Roman" w:cs="Times New Roman"/>
          <w:sz w:val="24"/>
          <w:szCs w:val="24"/>
        </w:rPr>
        <w:t> pour </w:t>
      </w:r>
      <w:proofErr w:type="spellStart"/>
      <w:r w:rsidRPr="00434919">
        <w:rPr>
          <w:rFonts w:ascii="Times New Roman" w:hAnsi="Times New Roman" w:cs="Times New Roman"/>
          <w:sz w:val="24"/>
          <w:szCs w:val="24"/>
        </w:rPr>
        <w:t>nuclear</w:t>
      </w:r>
      <w:proofErr w:type="spellEnd"/>
      <w:r w:rsidRPr="00434919">
        <w:rPr>
          <w:rFonts w:ascii="Times New Roman" w:hAnsi="Times New Roman" w:cs="Times New Roman"/>
          <w:sz w:val="24"/>
          <w:szCs w:val="24"/>
        </w:rPr>
        <w:t xml:space="preserve"> factor-kappa B est une protéine de la </w:t>
      </w:r>
      <w:proofErr w:type="spellStart"/>
      <w:r w:rsidRPr="00434919">
        <w:rPr>
          <w:rFonts w:ascii="Times New Roman" w:hAnsi="Times New Roman" w:cs="Times New Roman"/>
          <w:sz w:val="24"/>
          <w:szCs w:val="24"/>
        </w:rPr>
        <w:t>super-famille</w:t>
      </w:r>
      <w:proofErr w:type="spellEnd"/>
      <w:r w:rsidRPr="00434919">
        <w:rPr>
          <w:rFonts w:ascii="Times New Roman" w:hAnsi="Times New Roman" w:cs="Times New Roman"/>
          <w:sz w:val="24"/>
          <w:szCs w:val="24"/>
        </w:rPr>
        <w:t> des facteurs de transcription impliquée dans la réponse immunitaire et la réponse au stress cellulaire. 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4797F43" w14:textId="77777777" w:rsidR="00434919" w:rsidRPr="00434919" w:rsidRDefault="00434919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4919">
        <w:rPr>
          <w:rFonts w:ascii="Times New Roman" w:hAnsi="Times New Roman" w:cs="Times New Roman"/>
          <w:b/>
          <w:bCs/>
          <w:sz w:val="24"/>
          <w:szCs w:val="24"/>
        </w:rPr>
        <w:t>Autres propriétés</w:t>
      </w:r>
    </w:p>
    <w:p w14:paraId="341407A1" w14:textId="77777777" w:rsidR="00434919" w:rsidRPr="00434919" w:rsidRDefault="00434919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t>Elles sont en règle générale à l’origine des effets indésirables des glucocorticoïdes</w:t>
      </w:r>
    </w:p>
    <w:p w14:paraId="5832B079" w14:textId="504BECDE" w:rsidR="00434919" w:rsidRDefault="00434919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t>Propriétés liées à l’effet glucocorticoïde :</w:t>
      </w:r>
      <w:r w:rsidRPr="00434919">
        <w:rPr>
          <w:rFonts w:ascii="Times New Roman" w:hAnsi="Times New Roman" w:cs="Times New Roman"/>
          <w:sz w:val="24"/>
          <w:szCs w:val="24"/>
        </w:rPr>
        <w:br/>
        <w:t xml:space="preserve"> - Suppression de l’axe </w:t>
      </w:r>
      <w:proofErr w:type="spellStart"/>
      <w:r w:rsidRPr="00434919">
        <w:rPr>
          <w:rFonts w:ascii="Times New Roman" w:hAnsi="Times New Roman" w:cs="Times New Roman"/>
          <w:sz w:val="24"/>
          <w:szCs w:val="24"/>
        </w:rPr>
        <w:t>hypothalamo</w:t>
      </w:r>
      <w:proofErr w:type="spellEnd"/>
      <w:r w:rsidRPr="0043491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34919">
        <w:rPr>
          <w:rFonts w:ascii="Times New Roman" w:hAnsi="Times New Roman" w:cs="Times New Roman"/>
          <w:sz w:val="24"/>
          <w:szCs w:val="24"/>
        </w:rPr>
        <w:t>hypophyso</w:t>
      </w:r>
      <w:proofErr w:type="spellEnd"/>
      <w:r w:rsidRPr="00434919">
        <w:rPr>
          <w:rFonts w:ascii="Times New Roman" w:hAnsi="Times New Roman" w:cs="Times New Roman"/>
          <w:sz w:val="24"/>
          <w:szCs w:val="24"/>
        </w:rPr>
        <w:t>-surrénalien :</w:t>
      </w:r>
      <w:r w:rsidRPr="00434919">
        <w:rPr>
          <w:rFonts w:ascii="Times New Roman" w:hAnsi="Times New Roman" w:cs="Times New Roman"/>
          <w:sz w:val="24"/>
          <w:szCs w:val="24"/>
        </w:rPr>
        <w:br/>
        <w:t>La diminution du cortisol endogène dépendant des concentrations plasmatiques et du corticoïde.</w:t>
      </w:r>
    </w:p>
    <w:p w14:paraId="4E98EA67" w14:textId="77777777" w:rsidR="00434919" w:rsidRPr="00434919" w:rsidRDefault="00434919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b/>
          <w:bCs/>
          <w:sz w:val="24"/>
          <w:szCs w:val="24"/>
        </w:rPr>
        <w:t>Effet hyperglycémiant</w:t>
      </w:r>
      <w:r w:rsidRPr="0043491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34919">
        <w:rPr>
          <w:rFonts w:ascii="Cambria Math" w:hAnsi="Cambria Math" w:cs="Cambria Math"/>
          <w:sz w:val="24"/>
          <w:szCs w:val="24"/>
        </w:rPr>
        <w:t>⇑</w:t>
      </w:r>
      <w:r w:rsidRPr="00434919">
        <w:rPr>
          <w:rFonts w:ascii="Times New Roman" w:hAnsi="Times New Roman" w:cs="Times New Roman"/>
          <w:sz w:val="24"/>
          <w:szCs w:val="24"/>
        </w:rPr>
        <w:t> synthèse hépatique et </w:t>
      </w:r>
      <w:r w:rsidRPr="00434919">
        <w:rPr>
          <w:rFonts w:ascii="Cambria Math" w:hAnsi="Cambria Math" w:cs="Cambria Math"/>
          <w:sz w:val="24"/>
          <w:szCs w:val="24"/>
        </w:rPr>
        <w:t>⇓</w:t>
      </w:r>
      <w:r w:rsidRPr="00434919">
        <w:rPr>
          <w:rFonts w:ascii="Times New Roman" w:hAnsi="Times New Roman" w:cs="Times New Roman"/>
          <w:sz w:val="24"/>
          <w:szCs w:val="24"/>
        </w:rPr>
        <w:t> utilisation périphérique du glucose</w:t>
      </w:r>
    </w:p>
    <w:p w14:paraId="5B6544F6" w14:textId="77777777" w:rsidR="00434919" w:rsidRPr="00434919" w:rsidRDefault="00434919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t>- Modification de la répartition des graisses corporelles</w:t>
      </w:r>
    </w:p>
    <w:p w14:paraId="57137F83" w14:textId="77777777" w:rsidR="00434919" w:rsidRPr="00434919" w:rsidRDefault="00434919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lastRenderedPageBreak/>
        <w:t>- Diminution des réserves en calcium</w:t>
      </w:r>
    </w:p>
    <w:p w14:paraId="220F9EE1" w14:textId="77777777" w:rsidR="00434919" w:rsidRPr="00434919" w:rsidRDefault="00434919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t>- Perte musculaire</w:t>
      </w:r>
    </w:p>
    <w:p w14:paraId="4C4EF2DB" w14:textId="77777777" w:rsidR="00434919" w:rsidRPr="00434919" w:rsidRDefault="00434919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t>- Effets sur le système nerveux central</w:t>
      </w:r>
      <w:proofErr w:type="gramStart"/>
      <w:r w:rsidRPr="00434919">
        <w:rPr>
          <w:rFonts w:ascii="Times New Roman" w:hAnsi="Times New Roman" w:cs="Times New Roman"/>
          <w:sz w:val="24"/>
          <w:szCs w:val="24"/>
        </w:rPr>
        <w:t> :Troubles</w:t>
      </w:r>
      <w:proofErr w:type="gramEnd"/>
      <w:r w:rsidRPr="00434919">
        <w:rPr>
          <w:rFonts w:ascii="Times New Roman" w:hAnsi="Times New Roman" w:cs="Times New Roman"/>
          <w:sz w:val="24"/>
          <w:szCs w:val="24"/>
        </w:rPr>
        <w:t xml:space="preserve"> de l’humeur et comportementaux, euphorie, insomnie</w:t>
      </w:r>
    </w:p>
    <w:p w14:paraId="0BC7A297" w14:textId="77777777" w:rsidR="00434919" w:rsidRPr="00434919" w:rsidRDefault="00434919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4919">
        <w:rPr>
          <w:rFonts w:ascii="Times New Roman" w:hAnsi="Times New Roman" w:cs="Times New Roman"/>
          <w:b/>
          <w:bCs/>
          <w:sz w:val="24"/>
          <w:szCs w:val="24"/>
        </w:rPr>
        <w:t>Propriétés liées à l’effet minéralocorticoïde</w:t>
      </w:r>
    </w:p>
    <w:p w14:paraId="0BCADB17" w14:textId="362C94C1" w:rsidR="00434919" w:rsidRDefault="00434919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Cambria Math" w:hAnsi="Cambria Math" w:cs="Cambria Math"/>
          <w:sz w:val="24"/>
          <w:szCs w:val="24"/>
        </w:rPr>
        <w:t>⇑</w:t>
      </w:r>
      <w:r w:rsidRPr="00434919">
        <w:rPr>
          <w:rFonts w:ascii="Times New Roman" w:hAnsi="Times New Roman" w:cs="Times New Roman"/>
          <w:sz w:val="24"/>
          <w:szCs w:val="24"/>
        </w:rPr>
        <w:t> réabsorption tubulaire de Na+, excrétion rénale de K+ et d’eau</w:t>
      </w:r>
    </w:p>
    <w:p w14:paraId="675384EE" w14:textId="6CFC0E56" w:rsidR="00434919" w:rsidRPr="00434919" w:rsidRDefault="00434919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4919">
        <w:rPr>
          <w:rFonts w:ascii="Times New Roman" w:hAnsi="Times New Roman" w:cs="Times New Roman"/>
          <w:b/>
          <w:bCs/>
          <w:sz w:val="24"/>
          <w:szCs w:val="24"/>
        </w:rPr>
        <w:t>Les AINS</w:t>
      </w:r>
    </w:p>
    <w:p w14:paraId="77E34AC6" w14:textId="67D35C97" w:rsidR="00434919" w:rsidRDefault="00434919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t xml:space="preserve">Les taux des </w:t>
      </w:r>
      <w:proofErr w:type="spellStart"/>
      <w:r w:rsidRPr="00434919">
        <w:rPr>
          <w:rFonts w:ascii="Times New Roman" w:hAnsi="Times New Roman" w:cs="Times New Roman"/>
          <w:sz w:val="24"/>
          <w:szCs w:val="24"/>
        </w:rPr>
        <w:t>prostanoïdes</w:t>
      </w:r>
      <w:proofErr w:type="spellEnd"/>
      <w:r w:rsidRPr="00434919">
        <w:rPr>
          <w:rFonts w:ascii="Times New Roman" w:hAnsi="Times New Roman" w:cs="Times New Roman"/>
          <w:sz w:val="24"/>
          <w:szCs w:val="24"/>
        </w:rPr>
        <w:t xml:space="preserve"> augmentent considérablement et de manière immédiate lors d’une inflammation aiguë. Différentes molécules sont produites selon les stades de l’inflammation. Cette augmentation très rapide de la sécrétion des </w:t>
      </w:r>
      <w:proofErr w:type="spellStart"/>
      <w:r w:rsidRPr="00434919">
        <w:rPr>
          <w:rFonts w:ascii="Times New Roman" w:hAnsi="Times New Roman" w:cs="Times New Roman"/>
          <w:sz w:val="24"/>
          <w:szCs w:val="24"/>
        </w:rPr>
        <w:t>prostanoïdes</w:t>
      </w:r>
      <w:proofErr w:type="spellEnd"/>
      <w:r w:rsidRPr="00434919">
        <w:rPr>
          <w:rFonts w:ascii="Times New Roman" w:hAnsi="Times New Roman" w:cs="Times New Roman"/>
          <w:sz w:val="24"/>
          <w:szCs w:val="24"/>
        </w:rPr>
        <w:t xml:space="preserve"> est dépendante de la COX-2. Mais certaines études ont montré que l’expression de COX-1 augmente avec un </w:t>
      </w:r>
      <w:proofErr w:type="spellStart"/>
      <w:r w:rsidRPr="00434919">
        <w:rPr>
          <w:rFonts w:ascii="Times New Roman" w:hAnsi="Times New Roman" w:cs="Times New Roman"/>
          <w:sz w:val="24"/>
          <w:szCs w:val="24"/>
        </w:rPr>
        <w:t>proinflammatoire</w:t>
      </w:r>
      <w:proofErr w:type="spellEnd"/>
      <w:r w:rsidRPr="00434919">
        <w:rPr>
          <w:rFonts w:ascii="Times New Roman" w:hAnsi="Times New Roman" w:cs="Times New Roman"/>
          <w:sz w:val="24"/>
          <w:szCs w:val="24"/>
        </w:rPr>
        <w:t xml:space="preserve">. Le stimulus principal au début est dépendant de COX-1 et au fur et à mesure que l’inflammation progresse la COX-2 devient la source principale de </w:t>
      </w:r>
      <w:proofErr w:type="spellStart"/>
      <w:r w:rsidRPr="00434919">
        <w:rPr>
          <w:rFonts w:ascii="Times New Roman" w:hAnsi="Times New Roman" w:cs="Times New Roman"/>
          <w:sz w:val="24"/>
          <w:szCs w:val="24"/>
        </w:rPr>
        <w:t>prostanoïdes</w:t>
      </w:r>
      <w:proofErr w:type="spellEnd"/>
      <w:r w:rsidRPr="00434919">
        <w:rPr>
          <w:rFonts w:ascii="Times New Roman" w:hAnsi="Times New Roman" w:cs="Times New Roman"/>
          <w:sz w:val="24"/>
          <w:szCs w:val="24"/>
        </w:rPr>
        <w:t>.</w:t>
      </w:r>
    </w:p>
    <w:p w14:paraId="3293EABE" w14:textId="6904C53A" w:rsidR="00434919" w:rsidRDefault="00434919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EE6EBB" wp14:editId="1A0D670D">
            <wp:extent cx="2657475" cy="200264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30" cy="2022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C082B" w14:textId="415C3243" w:rsidR="00434919" w:rsidRDefault="00024D6F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921578" wp14:editId="3805A523">
                <wp:simplePos x="0" y="0"/>
                <wp:positionH relativeFrom="column">
                  <wp:posOffset>-480695</wp:posOffset>
                </wp:positionH>
                <wp:positionV relativeFrom="paragraph">
                  <wp:posOffset>261620</wp:posOffset>
                </wp:positionV>
                <wp:extent cx="6786563" cy="528638"/>
                <wp:effectExtent l="0" t="0" r="0" b="5080"/>
                <wp:wrapNone/>
                <wp:docPr id="281603" name="ZoneText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B1DEDF-14C1-43CA-B24A-89AEA031B3B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6563" cy="528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0AB17" w14:textId="44040E14" w:rsidR="00434919" w:rsidRPr="00024D6F" w:rsidRDefault="00434919" w:rsidP="00434919">
                            <w:pPr>
                              <w:textAlignment w:val="baseline"/>
                              <w:rPr>
                                <w:rFonts w:ascii="Tahoma" w:hAnsi="Tahom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24D6F">
                              <w:rPr>
                                <w:rFonts w:ascii="Tahoma" w:hAnsi="Tahom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4D6F">
                              <w:rPr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2. Rôle du Cyclooxygénase1 et Cyclooxygénase </w:t>
                            </w:r>
                            <w:proofErr w:type="gramStart"/>
                            <w:r w:rsidRPr="00024D6F">
                              <w:rPr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2</w:t>
                            </w:r>
                            <w:r w:rsidR="00024D6F">
                              <w:rPr>
                                <w:rFonts w:ascii="Tahoma" w:hAnsi="Tahom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4D6F">
                              <w:rPr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et</w:t>
                            </w:r>
                            <w:proofErr w:type="gramEnd"/>
                            <w:r w:rsidRPr="00024D6F">
                              <w:rPr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action des anti-inflammatoires mixtes (</w:t>
                            </w:r>
                            <w:proofErr w:type="spellStart"/>
                            <w:r w:rsidRPr="00024D6F">
                              <w:rPr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Corticoides</w:t>
                            </w:r>
                            <w:proofErr w:type="spellEnd"/>
                            <w:r w:rsidRPr="00024D6F">
                              <w:rPr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, AINC et inhibiteurs </w:t>
                            </w:r>
                            <w:proofErr w:type="spellStart"/>
                            <w:r w:rsidRPr="00024D6F">
                              <w:rPr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selectifs</w:t>
                            </w:r>
                            <w:proofErr w:type="spellEnd"/>
                            <w:r w:rsidRPr="00024D6F">
                              <w:rPr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de COX2 , </w:t>
                            </w:r>
                            <w:proofErr w:type="spellStart"/>
                            <w:r w:rsidRPr="00024D6F">
                              <w:rPr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COXIbs</w:t>
                            </w:r>
                            <w:proofErr w:type="spellEnd"/>
                            <w:r w:rsidRPr="00024D6F">
                              <w:rPr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21578" id="_x0000_t202" coordsize="21600,21600" o:spt="202" path="m,l,21600r21600,l21600,xe">
                <v:stroke joinstyle="miter"/>
                <v:path gradientshapeok="t" o:connecttype="rect"/>
              </v:shapetype>
              <v:shape id="ZoneTexte 7" o:spid="_x0000_s1026" type="#_x0000_t202" style="position:absolute;left:0;text-align:left;margin-left:-37.85pt;margin-top:20.6pt;width:534.4pt;height:4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" filled="f" stroked="f">
                <v:textbox>
                  <w:txbxContent>
                    <w:p w14:paraId="2F30AB17" w14:textId="44040E14" w:rsidR="00434919" w:rsidRPr="00024D6F" w:rsidRDefault="00434919" w:rsidP="00434919">
                      <w:pPr>
                        <w:textAlignment w:val="baseline"/>
                        <w:rPr>
                          <w:rFonts w:ascii="Tahoma" w:hAnsi="Tahom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024D6F">
                        <w:rPr>
                          <w:rFonts w:ascii="Tahoma" w:hAnsi="Tahoma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024D6F">
                        <w:rPr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2. Rôle du Cyclooxygénase1 et Cyclooxygénase </w:t>
                      </w:r>
                      <w:proofErr w:type="gramStart"/>
                      <w:r w:rsidRPr="00024D6F">
                        <w:rPr>
                          <w:b/>
                          <w:bCs/>
                          <w:kern w:val="24"/>
                          <w:sz w:val="24"/>
                          <w:szCs w:val="24"/>
                        </w:rPr>
                        <w:t>2</w:t>
                      </w:r>
                      <w:r w:rsidR="00024D6F">
                        <w:rPr>
                          <w:rFonts w:ascii="Tahoma" w:hAnsi="Tahoma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024D6F">
                        <w:rPr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et</w:t>
                      </w:r>
                      <w:proofErr w:type="gramEnd"/>
                      <w:r w:rsidRPr="00024D6F">
                        <w:rPr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action des anti-inflammatoires mixtes (</w:t>
                      </w:r>
                      <w:proofErr w:type="spellStart"/>
                      <w:r w:rsidRPr="00024D6F">
                        <w:rPr>
                          <w:b/>
                          <w:bCs/>
                          <w:kern w:val="24"/>
                          <w:sz w:val="24"/>
                          <w:szCs w:val="24"/>
                        </w:rPr>
                        <w:t>Corticoides</w:t>
                      </w:r>
                      <w:proofErr w:type="spellEnd"/>
                      <w:r w:rsidRPr="00024D6F">
                        <w:rPr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, AINC et inhibiteurs </w:t>
                      </w:r>
                      <w:proofErr w:type="spellStart"/>
                      <w:r w:rsidRPr="00024D6F">
                        <w:rPr>
                          <w:b/>
                          <w:bCs/>
                          <w:kern w:val="24"/>
                          <w:sz w:val="24"/>
                          <w:szCs w:val="24"/>
                        </w:rPr>
                        <w:t>selectifs</w:t>
                      </w:r>
                      <w:proofErr w:type="spellEnd"/>
                      <w:r w:rsidRPr="00024D6F">
                        <w:rPr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de COX2 , </w:t>
                      </w:r>
                      <w:proofErr w:type="spellStart"/>
                      <w:r w:rsidRPr="00024D6F">
                        <w:rPr>
                          <w:b/>
                          <w:bCs/>
                          <w:kern w:val="24"/>
                          <w:sz w:val="24"/>
                          <w:szCs w:val="24"/>
                        </w:rPr>
                        <w:t>COXIbs</w:t>
                      </w:r>
                      <w:proofErr w:type="spellEnd"/>
                      <w:r w:rsidRPr="00024D6F">
                        <w:rPr>
                          <w:b/>
                          <w:bCs/>
                          <w:kern w:val="24"/>
                          <w:sz w:val="24"/>
                          <w:szCs w:val="24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14:paraId="0CA15D71" w14:textId="1A08BE0B" w:rsidR="00434919" w:rsidRDefault="00434919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9DA42" w14:textId="77777777" w:rsidR="00024D6F" w:rsidRDefault="00024D6F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0A5930" w14:textId="77777777" w:rsidR="00024D6F" w:rsidRDefault="00024D6F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C0ACD" w14:textId="77777777" w:rsidR="00024D6F" w:rsidRDefault="00024D6F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F7E387" w14:textId="77777777" w:rsidR="00024D6F" w:rsidRDefault="00024D6F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3763A5" w14:textId="77777777" w:rsidR="00024D6F" w:rsidRDefault="00024D6F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B6D021" w14:textId="4FF654C2" w:rsidR="00434919" w:rsidRDefault="00024D6F" w:rsidP="00434919">
      <w:pPr>
        <w:tabs>
          <w:tab w:val="left" w:pos="23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919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F73200F" wp14:editId="36BC8F37">
            <wp:simplePos x="0" y="0"/>
            <wp:positionH relativeFrom="column">
              <wp:posOffset>848043</wp:posOffset>
            </wp:positionH>
            <wp:positionV relativeFrom="paragraph">
              <wp:posOffset>299403</wp:posOffset>
            </wp:positionV>
            <wp:extent cx="3543300" cy="2455938"/>
            <wp:effectExtent l="0" t="0" r="0" b="1905"/>
            <wp:wrapNone/>
            <wp:docPr id="281602" name="Picture 3" descr="Cox AINS AIS EMC">
              <a:extLst xmlns:a="http://schemas.openxmlformats.org/drawingml/2006/main">
                <a:ext uri="{FF2B5EF4-FFF2-40B4-BE49-F238E27FC236}">
                  <a16:creationId xmlns:a16="http://schemas.microsoft.com/office/drawing/2014/main" id="{7E76AF69-D357-4E74-9BA5-BD7C24FA27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02" name="Picture 3" descr="Cox AINS AIS EMC">
                      <a:extLst>
                        <a:ext uri="{FF2B5EF4-FFF2-40B4-BE49-F238E27FC236}">
                          <a16:creationId xmlns:a16="http://schemas.microsoft.com/office/drawing/2014/main" id="{7E76AF69-D357-4E74-9BA5-BD7C24FA275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105" cy="24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E6993" w14:textId="01C4F0BE" w:rsidR="00024D6F" w:rsidRPr="00024D6F" w:rsidRDefault="00024D6F" w:rsidP="00024D6F">
      <w:pPr>
        <w:rPr>
          <w:rFonts w:ascii="Times New Roman" w:hAnsi="Times New Roman" w:cs="Times New Roman"/>
          <w:sz w:val="24"/>
          <w:szCs w:val="24"/>
        </w:rPr>
      </w:pPr>
    </w:p>
    <w:p w14:paraId="7B544F4F" w14:textId="6C7382EF" w:rsidR="00024D6F" w:rsidRPr="00024D6F" w:rsidRDefault="00024D6F" w:rsidP="00024D6F">
      <w:pPr>
        <w:rPr>
          <w:rFonts w:ascii="Times New Roman" w:hAnsi="Times New Roman" w:cs="Times New Roman"/>
          <w:sz w:val="24"/>
          <w:szCs w:val="24"/>
        </w:rPr>
      </w:pPr>
    </w:p>
    <w:p w14:paraId="2672F7B2" w14:textId="23953EA8" w:rsidR="00024D6F" w:rsidRPr="00024D6F" w:rsidRDefault="00024D6F" w:rsidP="00024D6F">
      <w:pPr>
        <w:rPr>
          <w:rFonts w:ascii="Times New Roman" w:hAnsi="Times New Roman" w:cs="Times New Roman"/>
          <w:sz w:val="24"/>
          <w:szCs w:val="24"/>
        </w:rPr>
      </w:pPr>
    </w:p>
    <w:p w14:paraId="2F918873" w14:textId="7D2C804F" w:rsidR="00024D6F" w:rsidRPr="00024D6F" w:rsidRDefault="00024D6F" w:rsidP="00024D6F">
      <w:pPr>
        <w:rPr>
          <w:rFonts w:ascii="Times New Roman" w:hAnsi="Times New Roman" w:cs="Times New Roman"/>
          <w:sz w:val="24"/>
          <w:szCs w:val="24"/>
        </w:rPr>
      </w:pPr>
    </w:p>
    <w:p w14:paraId="2F43636A" w14:textId="4749B824" w:rsidR="00024D6F" w:rsidRPr="00024D6F" w:rsidRDefault="00024D6F" w:rsidP="00024D6F">
      <w:pPr>
        <w:rPr>
          <w:rFonts w:ascii="Times New Roman" w:hAnsi="Times New Roman" w:cs="Times New Roman"/>
          <w:sz w:val="24"/>
          <w:szCs w:val="24"/>
        </w:rPr>
      </w:pPr>
    </w:p>
    <w:p w14:paraId="722A26B9" w14:textId="561C8BC1" w:rsidR="00024D6F" w:rsidRPr="00024D6F" w:rsidRDefault="00024D6F" w:rsidP="00024D6F">
      <w:pPr>
        <w:rPr>
          <w:rFonts w:ascii="Times New Roman" w:hAnsi="Times New Roman" w:cs="Times New Roman"/>
          <w:sz w:val="24"/>
          <w:szCs w:val="24"/>
        </w:rPr>
      </w:pPr>
    </w:p>
    <w:p w14:paraId="202A5165" w14:textId="128140D9" w:rsidR="00024D6F" w:rsidRPr="00024D6F" w:rsidRDefault="00024D6F" w:rsidP="00024D6F">
      <w:pPr>
        <w:rPr>
          <w:rFonts w:ascii="Times New Roman" w:hAnsi="Times New Roman" w:cs="Times New Roman"/>
          <w:sz w:val="24"/>
          <w:szCs w:val="24"/>
        </w:rPr>
      </w:pPr>
    </w:p>
    <w:p w14:paraId="03A17E4E" w14:textId="65773606" w:rsidR="00024D6F" w:rsidRPr="00024D6F" w:rsidRDefault="00024D6F" w:rsidP="00024D6F">
      <w:pPr>
        <w:rPr>
          <w:rFonts w:ascii="Times New Roman" w:hAnsi="Times New Roman" w:cs="Times New Roman"/>
          <w:sz w:val="24"/>
          <w:szCs w:val="24"/>
        </w:rPr>
      </w:pPr>
    </w:p>
    <w:p w14:paraId="29606D28" w14:textId="73485D5D" w:rsidR="00024D6F" w:rsidRDefault="00024D6F" w:rsidP="00024D6F">
      <w:pPr>
        <w:rPr>
          <w:rFonts w:ascii="Times New Roman" w:hAnsi="Times New Roman" w:cs="Times New Roman"/>
          <w:sz w:val="24"/>
          <w:szCs w:val="24"/>
        </w:rPr>
      </w:pPr>
    </w:p>
    <w:p w14:paraId="3A329DB7" w14:textId="23E1E431" w:rsidR="00024D6F" w:rsidRDefault="00024D6F" w:rsidP="00024D6F">
      <w:pPr>
        <w:tabs>
          <w:tab w:val="left" w:pos="74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BFBE0A0" w14:textId="599CE2FD" w:rsidR="00024D6F" w:rsidRDefault="00024D6F" w:rsidP="00024D6F">
      <w:pPr>
        <w:tabs>
          <w:tab w:val="left" w:pos="74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KL§HJG</w:t>
      </w:r>
    </w:p>
    <w:p w14:paraId="72BCE3E4" w14:textId="76E6526B" w:rsidR="00024D6F" w:rsidRDefault="00024D6F" w:rsidP="00024D6F">
      <w:pPr>
        <w:tabs>
          <w:tab w:val="left" w:pos="7493"/>
        </w:tabs>
        <w:rPr>
          <w:rFonts w:ascii="Times New Roman" w:hAnsi="Times New Roman" w:cs="Times New Roman"/>
          <w:noProof/>
          <w:sz w:val="24"/>
          <w:szCs w:val="24"/>
        </w:rPr>
      </w:pPr>
      <w:r w:rsidRPr="00024D6F"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598484E" wp14:editId="73C8BC22">
                <wp:simplePos x="0" y="0"/>
                <wp:positionH relativeFrom="column">
                  <wp:posOffset>2867055</wp:posOffset>
                </wp:positionH>
                <wp:positionV relativeFrom="paragraph">
                  <wp:posOffset>909955</wp:posOffset>
                </wp:positionV>
                <wp:extent cx="1867167" cy="849231"/>
                <wp:effectExtent l="0" t="0" r="0" b="8255"/>
                <wp:wrapNone/>
                <wp:docPr id="16" name="Group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67167" cy="849231"/>
                          <a:chOff x="3000375" y="0"/>
                          <a:chExt cx="2361" cy="1097"/>
                        </a:xfrm>
                      </wpg:grpSpPr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000395" y="0"/>
                            <a:ext cx="2341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1BE67" w14:textId="77777777" w:rsidR="00024D6F" w:rsidRPr="00024D6F" w:rsidRDefault="00024D6F" w:rsidP="00024D6F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Tahoma" w:hAnsi="Tahoma" w:cs="Arial"/>
                                  <w:b/>
                                  <w:bCs/>
                                  <w:color w:val="FF33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024D6F">
                                <w:rPr>
                                  <w:rFonts w:ascii="Tahoma" w:hAnsi="Tahoma" w:cs="Arial"/>
                                  <w:b/>
                                  <w:bCs/>
                                  <w:color w:val="FF3300"/>
                                  <w:kern w:val="24"/>
                                  <w:sz w:val="20"/>
                                  <w:szCs w:val="20"/>
                                </w:rPr>
                                <w:t>AINS sélectifs</w:t>
                              </w:r>
                            </w:p>
                            <w:p w14:paraId="13422573" w14:textId="77777777" w:rsidR="00024D6F" w:rsidRPr="00024D6F" w:rsidRDefault="00024D6F" w:rsidP="00024D6F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Tahoma" w:hAnsi="Tahoma" w:cs="Arial"/>
                                  <w:b/>
                                  <w:bCs/>
                                  <w:color w:val="FF33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024D6F">
                                <w:rPr>
                                  <w:rFonts w:ascii="Tahoma" w:hAnsi="Tahoma" w:cs="Arial"/>
                                  <w:b/>
                                  <w:bCs/>
                                  <w:color w:val="FF3300"/>
                                  <w:kern w:val="24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spellStart"/>
                              <w:proofErr w:type="gramStart"/>
                              <w:r w:rsidRPr="00024D6F">
                                <w:rPr>
                                  <w:rFonts w:ascii="Tahoma" w:hAnsi="Tahoma" w:cs="Arial"/>
                                  <w:b/>
                                  <w:bCs/>
                                  <w:color w:val="FF3300"/>
                                  <w:kern w:val="24"/>
                                  <w:sz w:val="20"/>
                                  <w:szCs w:val="20"/>
                                </w:rPr>
                                <w:t>coxibs</w:t>
                              </w:r>
                              <w:proofErr w:type="spellEnd"/>
                              <w:proofErr w:type="gramEnd"/>
                              <w:r w:rsidRPr="00024D6F">
                                <w:rPr>
                                  <w:rFonts w:ascii="Tahoma" w:hAnsi="Tahoma" w:cs="Arial"/>
                                  <w:b/>
                                  <w:bCs/>
                                  <w:color w:val="FF3300"/>
                                  <w:kern w:val="24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8" name="Line 8"/>
                        <wps:cNvSpPr>
                          <a:spLocks noChangeShapeType="1"/>
                        </wps:cNvSpPr>
                        <wps:spPr bwMode="auto">
                          <a:xfrm flipH="1">
                            <a:off x="3000420" y="583"/>
                            <a:ext cx="590" cy="22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000375" y="650"/>
                            <a:ext cx="21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370CF" w14:textId="77777777" w:rsidR="00024D6F" w:rsidRDefault="00024D6F" w:rsidP="00024D6F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Tahoma" w:hAnsi="Tahoma" w:cs="Arial"/>
                                  <w:b/>
                                  <w:bCs/>
                                  <w:color w:val="FF3300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r>
                                <w:rPr>
                                  <w:rFonts w:ascii="Tahoma" w:hAnsi="Tahoma" w:cs="Arial"/>
                                  <w:b/>
                                  <w:bCs/>
                                  <w:color w:val="FF3300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8484E" id="Group 6" o:spid="_x0000_s1027" style="position:absolute;margin-left:225.75pt;margin-top:71.65pt;width:147pt;height:66.85pt;z-index:251662336;mso-width-relative:margin;mso-height-relative:margin" coordorigin="30003" coordsize="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">
                <v:shape id="Text Box 7" o:spid="_x0000_s1028" type="#_x0000_t202" style="position:absolute;left:30003;width:2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591BE67" w14:textId="77777777" w:rsidR="00024D6F" w:rsidRPr="00024D6F" w:rsidRDefault="00024D6F" w:rsidP="00024D6F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Tahoma" w:hAnsi="Tahoma" w:cs="Arial"/>
                            <w:b/>
                            <w:bCs/>
                            <w:color w:val="FF3300"/>
                            <w:kern w:val="24"/>
                            <w:sz w:val="20"/>
                            <w:szCs w:val="20"/>
                          </w:rPr>
                        </w:pPr>
                        <w:r w:rsidRPr="00024D6F">
                          <w:rPr>
                            <w:rFonts w:ascii="Tahoma" w:hAnsi="Tahoma" w:cs="Arial"/>
                            <w:b/>
                            <w:bCs/>
                            <w:color w:val="FF3300"/>
                            <w:kern w:val="24"/>
                            <w:sz w:val="20"/>
                            <w:szCs w:val="20"/>
                          </w:rPr>
                          <w:t>AINS sélectifs</w:t>
                        </w:r>
                      </w:p>
                      <w:p w14:paraId="13422573" w14:textId="77777777" w:rsidR="00024D6F" w:rsidRPr="00024D6F" w:rsidRDefault="00024D6F" w:rsidP="00024D6F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Tahoma" w:hAnsi="Tahoma" w:cs="Arial"/>
                            <w:b/>
                            <w:bCs/>
                            <w:color w:val="FF3300"/>
                            <w:kern w:val="24"/>
                            <w:sz w:val="20"/>
                            <w:szCs w:val="20"/>
                          </w:rPr>
                        </w:pPr>
                        <w:r w:rsidRPr="00024D6F">
                          <w:rPr>
                            <w:rFonts w:ascii="Tahoma" w:hAnsi="Tahoma" w:cs="Arial"/>
                            <w:b/>
                            <w:bCs/>
                            <w:color w:val="FF3300"/>
                            <w:kern w:val="24"/>
                            <w:sz w:val="20"/>
                            <w:szCs w:val="20"/>
                          </w:rPr>
                          <w:t>(</w:t>
                        </w:r>
                        <w:proofErr w:type="spellStart"/>
                        <w:proofErr w:type="gramStart"/>
                        <w:r w:rsidRPr="00024D6F">
                          <w:rPr>
                            <w:rFonts w:ascii="Tahoma" w:hAnsi="Tahoma" w:cs="Arial"/>
                            <w:b/>
                            <w:bCs/>
                            <w:color w:val="FF3300"/>
                            <w:kern w:val="24"/>
                            <w:sz w:val="20"/>
                            <w:szCs w:val="20"/>
                          </w:rPr>
                          <w:t>coxibs</w:t>
                        </w:r>
                        <w:proofErr w:type="spellEnd"/>
                        <w:proofErr w:type="gramEnd"/>
                        <w:r w:rsidRPr="00024D6F">
                          <w:rPr>
                            <w:rFonts w:ascii="Tahoma" w:hAnsi="Tahoma" w:cs="Arial"/>
                            <w:b/>
                            <w:bCs/>
                            <w:color w:val="FF3300"/>
                            <w:kern w:val="24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line id="Line 8" o:spid="_x0000_s1029" style="position:absolute;flip:x;visibility:visible;mso-wrap-style:square;v-text-anchor:top" from="30004,5" to="300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" strokecolor="#f30" strokeweight="3pt">
                  <v:stroke endarrow="block"/>
                </v:line>
                <v:shape id="Text Box 9" o:spid="_x0000_s1030" type="#_x0000_t202" style="position:absolute;left:30003;top:6;width:2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BA370CF" w14:textId="77777777" w:rsidR="00024D6F" w:rsidRDefault="00024D6F" w:rsidP="00024D6F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Tahoma" w:hAnsi="Tahoma" w:cs="Arial"/>
                            <w:b/>
                            <w:bCs/>
                            <w:color w:val="FF3300"/>
                            <w:kern w:val="24"/>
                            <w:sz w:val="56"/>
                            <w:szCs w:val="56"/>
                            <w:lang w:val="en-US"/>
                          </w:rPr>
                        </w:pPr>
                        <w:r>
                          <w:rPr>
                            <w:rFonts w:ascii="Tahoma" w:hAnsi="Tahoma" w:cs="Arial"/>
                            <w:b/>
                            <w:bCs/>
                            <w:color w:val="FF3300"/>
                            <w:kern w:val="24"/>
                            <w:sz w:val="56"/>
                            <w:szCs w:val="56"/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24D6F"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A4789B0" wp14:editId="6C259FA3">
                <wp:simplePos x="0" y="0"/>
                <wp:positionH relativeFrom="column">
                  <wp:posOffset>1491432</wp:posOffset>
                </wp:positionH>
                <wp:positionV relativeFrom="paragraph">
                  <wp:posOffset>952995</wp:posOffset>
                </wp:positionV>
                <wp:extent cx="1033090" cy="828675"/>
                <wp:effectExtent l="38100" t="0" r="0" b="9525"/>
                <wp:wrapNone/>
                <wp:docPr id="20" name="Group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33090" cy="828675"/>
                          <a:chOff x="0" y="71438"/>
                          <a:chExt cx="1307" cy="1070"/>
                        </a:xfrm>
                      </wpg:grpSpPr>
                      <wps:wsp>
                        <wps:cNvPr id="2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71438"/>
                            <a:ext cx="1247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386D2" w14:textId="6B87B7B5" w:rsidR="00024D6F" w:rsidRPr="00024D6F" w:rsidRDefault="00024D6F" w:rsidP="00024D6F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Tahoma" w:hAnsi="Tahoma" w:cs="Arial"/>
                                  <w:b/>
                                  <w:bCs/>
                                  <w:color w:val="FF33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024D6F">
                                <w:rPr>
                                  <w:rFonts w:ascii="Tahoma" w:hAnsi="Tahoma" w:cs="Arial"/>
                                  <w:b/>
                                  <w:bCs/>
                                  <w:color w:val="FF3300"/>
                                  <w:kern w:val="24"/>
                                  <w:sz w:val="20"/>
                                  <w:szCs w:val="20"/>
                                </w:rPr>
                                <w:t>AINS</w:t>
                              </w:r>
                              <w:r>
                                <w:rPr>
                                  <w:rFonts w:ascii="Tahoma" w:hAnsi="Tahoma" w:cs="Arial"/>
                                  <w:b/>
                                  <w:bCs/>
                                  <w:color w:val="FF33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24D6F">
                                <w:rPr>
                                  <w:rFonts w:ascii="Tahoma" w:hAnsi="Tahoma" w:cs="Arial"/>
                                  <w:b/>
                                  <w:bCs/>
                                  <w:color w:val="FF3300"/>
                                  <w:kern w:val="24"/>
                                  <w:sz w:val="20"/>
                                  <w:szCs w:val="20"/>
                                </w:rPr>
                                <w:t>non sélectifs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2" name="Line 12"/>
                        <wps:cNvSpPr>
                          <a:spLocks noChangeShapeType="1"/>
                        </wps:cNvSpPr>
                        <wps:spPr bwMode="auto">
                          <a:xfrm flipH="1">
                            <a:off x="0" y="71973"/>
                            <a:ext cx="590" cy="22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3"/>
                        <wps:cNvSpPr>
                          <a:spLocks noChangeShapeType="1"/>
                        </wps:cNvSpPr>
                        <wps:spPr bwMode="auto">
                          <a:xfrm rot="10800000" flipH="1" flipV="1">
                            <a:off x="630" y="71973"/>
                            <a:ext cx="590" cy="22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70" y="71924"/>
                            <a:ext cx="21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801A0" w14:textId="77777777" w:rsidR="00024D6F" w:rsidRDefault="00024D6F" w:rsidP="00024D6F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Tahoma" w:hAnsi="Tahoma" w:cs="Arial"/>
                                  <w:b/>
                                  <w:bCs/>
                                  <w:color w:val="FF3300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r>
                                <w:rPr>
                                  <w:rFonts w:ascii="Tahoma" w:hAnsi="Tahoma" w:cs="Arial"/>
                                  <w:b/>
                                  <w:bCs/>
                                  <w:color w:val="FF3300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53" y="72061"/>
                            <a:ext cx="21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34113" w14:textId="77777777" w:rsidR="00024D6F" w:rsidRDefault="00024D6F" w:rsidP="00024D6F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Tahoma" w:hAnsi="Tahoma" w:cs="Arial"/>
                                  <w:b/>
                                  <w:bCs/>
                                  <w:color w:val="FF3300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r>
                                <w:rPr>
                                  <w:rFonts w:ascii="Tahoma" w:hAnsi="Tahoma" w:cs="Arial"/>
                                  <w:b/>
                                  <w:bCs/>
                                  <w:color w:val="FF3300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789B0" id="Group 10" o:spid="_x0000_s1031" style="position:absolute;margin-left:117.45pt;margin-top:75.05pt;width:81.35pt;height:65.25pt;z-index:251663360;mso-width-relative:margin;mso-height-relative:margin" coordorigin=",71438" coordsize="1307,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">
                <v:shape id="Text Box 11" o:spid="_x0000_s1032" type="#_x0000_t202" style="position:absolute;left:60;top:71438;width:1247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F7386D2" w14:textId="6B87B7B5" w:rsidR="00024D6F" w:rsidRPr="00024D6F" w:rsidRDefault="00024D6F" w:rsidP="00024D6F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Tahoma" w:hAnsi="Tahoma" w:cs="Arial"/>
                            <w:b/>
                            <w:bCs/>
                            <w:color w:val="FF3300"/>
                            <w:kern w:val="24"/>
                            <w:sz w:val="20"/>
                            <w:szCs w:val="20"/>
                          </w:rPr>
                        </w:pPr>
                        <w:r w:rsidRPr="00024D6F">
                          <w:rPr>
                            <w:rFonts w:ascii="Tahoma" w:hAnsi="Tahoma" w:cs="Arial"/>
                            <w:b/>
                            <w:bCs/>
                            <w:color w:val="FF3300"/>
                            <w:kern w:val="24"/>
                            <w:sz w:val="20"/>
                            <w:szCs w:val="20"/>
                          </w:rPr>
                          <w:t>AINS</w:t>
                        </w:r>
                        <w:r>
                          <w:rPr>
                            <w:rFonts w:ascii="Tahoma" w:hAnsi="Tahoma" w:cs="Arial"/>
                            <w:b/>
                            <w:bCs/>
                            <w:color w:val="FF33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024D6F">
                          <w:rPr>
                            <w:rFonts w:ascii="Tahoma" w:hAnsi="Tahoma" w:cs="Arial"/>
                            <w:b/>
                            <w:bCs/>
                            <w:color w:val="FF3300"/>
                            <w:kern w:val="24"/>
                            <w:sz w:val="20"/>
                            <w:szCs w:val="20"/>
                          </w:rPr>
                          <w:t>non sélectifs</w:t>
                        </w:r>
                      </w:p>
                    </w:txbxContent>
                  </v:textbox>
                </v:shape>
                <v:line id="Line 12" o:spid="_x0000_s1033" style="position:absolute;flip:x;visibility:visible;mso-wrap-style:square;v-text-anchor:top" from="0,71973" to="590,7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" strokecolor="#f30" strokeweight="3pt">
                  <v:stroke endarrow="block"/>
                </v:line>
                <v:line id="Line 13" o:spid="_x0000_s1034" style="position:absolute;rotation:180;flip:x y;visibility:visible;mso-wrap-style:square;v-text-anchor:top" from="630,71973" to="1220,7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" strokecolor="#f30" strokeweight="3pt">
                  <v:stroke endarrow="block"/>
                </v:line>
                <v:shape id="Text Box 14" o:spid="_x0000_s1035" type="#_x0000_t202" style="position:absolute;left:270;top:71924;width:212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4E0801A0" w14:textId="77777777" w:rsidR="00024D6F" w:rsidRDefault="00024D6F" w:rsidP="00024D6F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Tahoma" w:hAnsi="Tahoma" w:cs="Arial"/>
                            <w:b/>
                            <w:bCs/>
                            <w:color w:val="FF3300"/>
                            <w:kern w:val="24"/>
                            <w:sz w:val="56"/>
                            <w:szCs w:val="56"/>
                            <w:lang w:val="en-US"/>
                          </w:rPr>
                        </w:pPr>
                        <w:r>
                          <w:rPr>
                            <w:rFonts w:ascii="Tahoma" w:hAnsi="Tahoma" w:cs="Arial"/>
                            <w:b/>
                            <w:bCs/>
                            <w:color w:val="FF3300"/>
                            <w:kern w:val="24"/>
                            <w:sz w:val="56"/>
                            <w:szCs w:val="56"/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  <v:shape id="Text Box 15" o:spid="_x0000_s1036" type="#_x0000_t202" style="position:absolute;left:1053;top:72061;width:212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4334113" w14:textId="77777777" w:rsidR="00024D6F" w:rsidRDefault="00024D6F" w:rsidP="00024D6F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Tahoma" w:hAnsi="Tahoma" w:cs="Arial"/>
                            <w:b/>
                            <w:bCs/>
                            <w:color w:val="FF3300"/>
                            <w:kern w:val="24"/>
                            <w:sz w:val="56"/>
                            <w:szCs w:val="56"/>
                            <w:lang w:val="en-US"/>
                          </w:rPr>
                        </w:pPr>
                        <w:r>
                          <w:rPr>
                            <w:rFonts w:ascii="Tahoma" w:hAnsi="Tahoma" w:cs="Arial"/>
                            <w:b/>
                            <w:bCs/>
                            <w:color w:val="FF3300"/>
                            <w:kern w:val="24"/>
                            <w:sz w:val="56"/>
                            <w:szCs w:val="56"/>
                            <w:lang w:val="en-US"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9EED1D" wp14:editId="2B8DE440">
            <wp:extent cx="4478264" cy="340296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663" cy="3420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4D6F">
        <w:rPr>
          <w:noProof/>
        </w:rPr>
        <w:t xml:space="preserve"> </w:t>
      </w:r>
    </w:p>
    <w:p w14:paraId="7CF4CCA0" w14:textId="565B1CC5" w:rsidR="00024D6F" w:rsidRDefault="00024D6F" w:rsidP="00024D6F">
      <w:pPr>
        <w:rPr>
          <w:rFonts w:ascii="Times New Roman" w:hAnsi="Times New Roman" w:cs="Times New Roman"/>
          <w:noProof/>
          <w:sz w:val="24"/>
          <w:szCs w:val="24"/>
        </w:rPr>
      </w:pPr>
    </w:p>
    <w:p w14:paraId="006B9B25" w14:textId="3E365D78" w:rsidR="00024D6F" w:rsidRPr="00434919" w:rsidRDefault="00024D6F" w:rsidP="00024D6F">
      <w:pPr>
        <w:tabs>
          <w:tab w:val="left" w:pos="22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810E5B" wp14:editId="043310DB">
            <wp:extent cx="5688965" cy="3771803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75" cy="3785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4D6F" w:rsidRPr="004349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A4B"/>
    <w:rsid w:val="00002B93"/>
    <w:rsid w:val="00024D6F"/>
    <w:rsid w:val="00434919"/>
    <w:rsid w:val="00E6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1EE20"/>
  <w15:chartTrackingRefBased/>
  <w15:docId w15:val="{98A29B81-FA47-44AE-837A-517F7FA9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1092</Words>
  <Characters>6011</Characters>
  <Application>Microsoft Office Word</Application>
  <DocSecurity>0</DocSecurity>
  <Lines>50</Lines>
  <Paragraphs>14</Paragraphs>
  <ScaleCrop>false</ScaleCrop>
  <Company/>
  <LinksUpToDate>false</LinksUpToDate>
  <CharactersWithSpaces>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</dc:creator>
  <cp:keywords/>
  <dc:description/>
  <cp:lastModifiedBy>MZ</cp:lastModifiedBy>
  <cp:revision>1</cp:revision>
  <dcterms:created xsi:type="dcterms:W3CDTF">2021-05-24T14:18:00Z</dcterms:created>
  <dcterms:modified xsi:type="dcterms:W3CDTF">2021-05-24T14:56:00Z</dcterms:modified>
</cp:coreProperties>
</file>