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0CC0" w:rsidRPr="0003361A" w:rsidRDefault="0003361A">
      <w:pPr>
        <w:rPr>
          <w:u w:val="single"/>
        </w:rPr>
      </w:pPr>
      <w:r w:rsidRPr="0003361A">
        <w:rPr>
          <w:rFonts w:asciiTheme="majorBidi" w:hAnsiTheme="majorBidi" w:cstheme="majorBidi"/>
          <w:b/>
          <w:bCs/>
          <w:color w:val="000000" w:themeColor="text1"/>
          <w:sz w:val="24"/>
          <w:szCs w:val="24"/>
          <w:u w:val="single"/>
        </w:rPr>
        <w:t xml:space="preserve">L'International Mouse </w:t>
      </w:r>
      <w:proofErr w:type="spellStart"/>
      <w:r w:rsidRPr="0003361A">
        <w:rPr>
          <w:rFonts w:asciiTheme="majorBidi" w:hAnsiTheme="majorBidi" w:cstheme="majorBidi"/>
          <w:b/>
          <w:bCs/>
          <w:color w:val="000000" w:themeColor="text1"/>
          <w:sz w:val="24"/>
          <w:szCs w:val="24"/>
          <w:u w:val="single"/>
        </w:rPr>
        <w:t>Phenotyping</w:t>
      </w:r>
      <w:proofErr w:type="spellEnd"/>
      <w:r w:rsidRPr="0003361A">
        <w:rPr>
          <w:rFonts w:asciiTheme="majorBidi" w:hAnsiTheme="majorBidi" w:cstheme="majorBidi"/>
          <w:b/>
          <w:bCs/>
          <w:color w:val="000000" w:themeColor="text1"/>
          <w:sz w:val="24"/>
          <w:szCs w:val="24"/>
          <w:u w:val="single"/>
        </w:rPr>
        <w:t xml:space="preserve"> Consortium (IMPC)</w:t>
      </w:r>
    </w:p>
    <w:p w:rsidR="0003361A" w:rsidRDefault="0003361A" w:rsidP="00740CC0">
      <w:pPr>
        <w:tabs>
          <w:tab w:val="center" w:pos="4536"/>
        </w:tabs>
      </w:pPr>
    </w:p>
    <w:p w:rsidR="0003361A" w:rsidRPr="0003361A" w:rsidRDefault="0003361A" w:rsidP="00740CC0">
      <w:pPr>
        <w:tabs>
          <w:tab w:val="center" w:pos="4536"/>
        </w:tabs>
        <w:rPr>
          <w:rFonts w:asciiTheme="majorBidi" w:hAnsiTheme="majorBidi" w:cstheme="majorBidi"/>
          <w:b/>
          <w:bCs/>
          <w:i/>
          <w:iCs/>
          <w:sz w:val="28"/>
          <w:szCs w:val="28"/>
          <w:u w:val="single"/>
        </w:rPr>
      </w:pPr>
      <w:r w:rsidRPr="0003361A">
        <w:rPr>
          <w:rFonts w:asciiTheme="majorBidi" w:hAnsiTheme="majorBidi" w:cstheme="majorBidi"/>
          <w:b/>
          <w:bCs/>
          <w:i/>
          <w:iCs/>
          <w:sz w:val="28"/>
          <w:szCs w:val="28"/>
          <w:u w:val="single"/>
        </w:rPr>
        <w:t xml:space="preserve">Introduction à l’IMPC </w:t>
      </w:r>
    </w:p>
    <w:p w:rsidR="00D1434E" w:rsidRDefault="00943F7F" w:rsidP="00740CC0">
      <w:pPr>
        <w:tabs>
          <w:tab w:val="center" w:pos="4536"/>
        </w:tabs>
      </w:pPr>
      <w:hyperlink r:id="rId4" w:history="1">
        <w:r w:rsidR="0003361A" w:rsidRPr="00DA07D3">
          <w:rPr>
            <w:rStyle w:val="Lienhypertexte"/>
          </w:rPr>
          <w:t>https://www.mousephenotype.org/</w:t>
        </w:r>
      </w:hyperlink>
      <w:r w:rsidR="00740CC0">
        <w:tab/>
      </w:r>
    </w:p>
    <w:p w:rsidR="0003361A" w:rsidRDefault="005F5E98" w:rsidP="00740CC0">
      <w:pPr>
        <w:jc w:val="both"/>
        <w:rPr>
          <w:rFonts w:asciiTheme="majorBidi" w:hAnsiTheme="majorBidi" w:cstheme="majorBidi"/>
          <w:color w:val="000000" w:themeColor="text1"/>
          <w:sz w:val="24"/>
          <w:szCs w:val="24"/>
          <w:shd w:val="clear" w:color="auto" w:fill="FFFFFF"/>
        </w:rPr>
      </w:pPr>
      <w:r>
        <w:rPr>
          <w:rFonts w:asciiTheme="majorBidi" w:hAnsiTheme="majorBidi" w:cstheme="majorBidi"/>
          <w:b/>
          <w:bCs/>
          <w:color w:val="000000" w:themeColor="text1"/>
          <w:sz w:val="24"/>
          <w:szCs w:val="24"/>
        </w:rPr>
        <w:t xml:space="preserve">       </w:t>
      </w:r>
      <w:r w:rsidR="00740CC0" w:rsidRPr="0003361A">
        <w:rPr>
          <w:rFonts w:asciiTheme="majorBidi" w:hAnsiTheme="majorBidi" w:cstheme="majorBidi"/>
          <w:b/>
          <w:bCs/>
          <w:color w:val="000000" w:themeColor="text1"/>
          <w:sz w:val="24"/>
          <w:szCs w:val="24"/>
        </w:rPr>
        <w:t xml:space="preserve">L'International Mouse </w:t>
      </w:r>
      <w:proofErr w:type="spellStart"/>
      <w:r w:rsidR="00740CC0" w:rsidRPr="0003361A">
        <w:rPr>
          <w:rFonts w:asciiTheme="majorBidi" w:hAnsiTheme="majorBidi" w:cstheme="majorBidi"/>
          <w:b/>
          <w:bCs/>
          <w:color w:val="000000" w:themeColor="text1"/>
          <w:sz w:val="24"/>
          <w:szCs w:val="24"/>
        </w:rPr>
        <w:t>Phenotyping</w:t>
      </w:r>
      <w:proofErr w:type="spellEnd"/>
      <w:r w:rsidR="00740CC0" w:rsidRPr="0003361A">
        <w:rPr>
          <w:rFonts w:asciiTheme="majorBidi" w:hAnsiTheme="majorBidi" w:cstheme="majorBidi"/>
          <w:b/>
          <w:bCs/>
          <w:color w:val="000000" w:themeColor="text1"/>
          <w:sz w:val="24"/>
          <w:szCs w:val="24"/>
        </w:rPr>
        <w:t xml:space="preserve"> Consortium (IMPC)</w:t>
      </w:r>
      <w:r w:rsidR="00740CC0" w:rsidRPr="0003361A">
        <w:rPr>
          <w:rFonts w:asciiTheme="majorBidi" w:hAnsiTheme="majorBidi" w:cstheme="majorBidi"/>
          <w:color w:val="000000" w:themeColor="text1"/>
          <w:sz w:val="24"/>
          <w:szCs w:val="24"/>
        </w:rPr>
        <w:t xml:space="preserve"> est un effort international de 21 instituts de recherche pour identifier la fonction de chaque gène codant pour les protéines dans le génome de la souris. </w:t>
      </w:r>
      <w:r w:rsidR="00740CC0" w:rsidRPr="0003361A">
        <w:rPr>
          <w:rFonts w:asciiTheme="majorBidi" w:hAnsiTheme="majorBidi" w:cstheme="majorBidi"/>
          <w:color w:val="000000" w:themeColor="text1"/>
          <w:sz w:val="24"/>
          <w:szCs w:val="24"/>
          <w:shd w:val="clear" w:color="auto" w:fill="FFFFFF"/>
        </w:rPr>
        <w:t>Pour y parvenir, l'IMPC éteint ou « élimine » systématiquement chacun des quelque 20 000 gènes qui composent le génome de la souris. Par la suite, les souris knock-out subissent des tests physiologiques standardisés (tests de phénotypage) dans une gamme de systèmes biologiques afin de déduire la fonction des gènes, avant que les données ne soient mises gratuitement à la disposition de la communauté des chercheurs sur </w:t>
      </w:r>
      <w:r w:rsidR="0003361A">
        <w:rPr>
          <w:rFonts w:asciiTheme="majorBidi" w:hAnsiTheme="majorBidi" w:cstheme="majorBidi"/>
          <w:color w:val="000000" w:themeColor="text1"/>
          <w:sz w:val="24"/>
          <w:szCs w:val="24"/>
          <w:shd w:val="clear" w:color="auto" w:fill="FFFFFF"/>
        </w:rPr>
        <w:t>la base de données du IMPC</w:t>
      </w:r>
      <w:r w:rsidR="00740CC0" w:rsidRPr="0003361A">
        <w:rPr>
          <w:rFonts w:asciiTheme="majorBidi" w:hAnsiTheme="majorBidi" w:cstheme="majorBidi"/>
          <w:color w:val="000000" w:themeColor="text1"/>
          <w:sz w:val="24"/>
          <w:szCs w:val="24"/>
          <w:shd w:val="clear" w:color="auto" w:fill="FFFFFF"/>
        </w:rPr>
        <w:t>.</w:t>
      </w:r>
    </w:p>
    <w:p w:rsidR="0003361A" w:rsidRDefault="005F5E98" w:rsidP="00740CC0">
      <w:pPr>
        <w:jc w:val="both"/>
        <w:rPr>
          <w:rFonts w:asciiTheme="majorBidi" w:hAnsiTheme="majorBidi" w:cstheme="majorBidi"/>
          <w:color w:val="000000" w:themeColor="text1"/>
          <w:sz w:val="24"/>
          <w:szCs w:val="24"/>
          <w:shd w:val="clear" w:color="auto" w:fill="FFFFFF"/>
        </w:rPr>
      </w:pPr>
      <w:r>
        <w:rPr>
          <w:rFonts w:asciiTheme="majorBidi" w:hAnsiTheme="majorBidi" w:cstheme="majorBidi"/>
          <w:color w:val="000000" w:themeColor="text1"/>
          <w:sz w:val="24"/>
          <w:szCs w:val="24"/>
          <w:shd w:val="clear" w:color="auto" w:fill="FFFFFF"/>
        </w:rPr>
        <w:t xml:space="preserve">      </w:t>
      </w:r>
      <w:r w:rsidR="00E057F2">
        <w:rPr>
          <w:rFonts w:asciiTheme="majorBidi" w:hAnsiTheme="majorBidi" w:cstheme="majorBidi"/>
          <w:color w:val="000000" w:themeColor="text1"/>
          <w:sz w:val="24"/>
          <w:szCs w:val="24"/>
          <w:shd w:val="clear" w:color="auto" w:fill="FFFFFF"/>
        </w:rPr>
        <w:t xml:space="preserve">Plus de </w:t>
      </w:r>
      <w:r w:rsidR="00E057F2" w:rsidRPr="00E057F2">
        <w:rPr>
          <w:rFonts w:asciiTheme="majorBidi" w:hAnsiTheme="majorBidi" w:cstheme="majorBidi"/>
          <w:color w:val="000000" w:themeColor="text1"/>
          <w:sz w:val="24"/>
          <w:szCs w:val="24"/>
          <w:shd w:val="clear" w:color="auto" w:fill="FFFFFF"/>
        </w:rPr>
        <w:t>5186 lignées mutantes ont été phénotypées, avec une moyenne de 163 paramètres mesurés sur une souris donnée, représentées par plus de 128 000 knock-out et 35 000 souris de type sauvage ou témoins. De plus, des lignées de souris létales embryonnaires sont analysées dans un pipeline de développement embryonnaire spécialisé qui utilise l'imagerie 3D haute résolution pour comprendre les changements structurels. Ces données permettent à l'IMPC d'identifier les systèmes physiologiques qui sont perturbés lorsqu'un gène est désactivé et de faire de nouvelles associations gène-phénotype</w:t>
      </w:r>
      <w:r w:rsidR="00740CC0" w:rsidRPr="0003361A">
        <w:rPr>
          <w:rFonts w:asciiTheme="majorBidi" w:hAnsiTheme="majorBidi" w:cstheme="majorBidi"/>
          <w:color w:val="000000" w:themeColor="text1"/>
          <w:sz w:val="24"/>
          <w:szCs w:val="24"/>
          <w:shd w:val="clear" w:color="auto" w:fill="FFFFFF"/>
        </w:rPr>
        <w:t xml:space="preserve"> </w:t>
      </w:r>
    </w:p>
    <w:p w:rsidR="005F5E98" w:rsidRDefault="005F5E98" w:rsidP="00740CC0">
      <w:pPr>
        <w:jc w:val="both"/>
        <w:rPr>
          <w:rFonts w:asciiTheme="majorBidi" w:hAnsiTheme="majorBidi" w:cstheme="majorBidi"/>
          <w:color w:val="000000" w:themeColor="text1"/>
          <w:sz w:val="24"/>
          <w:szCs w:val="24"/>
          <w:shd w:val="clear" w:color="auto" w:fill="FFFFFF"/>
        </w:rPr>
      </w:pPr>
    </w:p>
    <w:p w:rsidR="00740CC0" w:rsidRPr="0003361A" w:rsidRDefault="005F5E98" w:rsidP="00740CC0">
      <w:pPr>
        <w:jc w:val="both"/>
        <w:rPr>
          <w:rFonts w:asciiTheme="majorBidi" w:hAnsiTheme="majorBidi" w:cstheme="majorBidi"/>
          <w:color w:val="000000" w:themeColor="text1"/>
          <w:sz w:val="24"/>
          <w:szCs w:val="24"/>
          <w:shd w:val="clear" w:color="auto" w:fill="FFFFFF"/>
        </w:rPr>
      </w:pPr>
      <w:r>
        <w:rPr>
          <w:rFonts w:asciiTheme="majorBidi" w:hAnsiTheme="majorBidi" w:cstheme="majorBidi"/>
          <w:color w:val="000000" w:themeColor="text1"/>
          <w:sz w:val="24"/>
          <w:szCs w:val="24"/>
          <w:shd w:val="clear" w:color="auto" w:fill="FFFFFF"/>
        </w:rPr>
        <w:t xml:space="preserve">    </w:t>
      </w:r>
      <w:r w:rsidR="0003361A" w:rsidRPr="0003361A">
        <w:rPr>
          <w:rFonts w:asciiTheme="majorBidi" w:hAnsiTheme="majorBidi" w:cstheme="majorBidi"/>
          <w:color w:val="000000" w:themeColor="text1"/>
          <w:sz w:val="24"/>
          <w:szCs w:val="24"/>
          <w:shd w:val="clear" w:color="auto" w:fill="FCFCFC"/>
        </w:rPr>
        <w:t>La base de données IMPC est consultable par nom de gène, phénotype et maladie, permet des requêtes par lots et le téléchargement de toutes les données, rapports dédiés, graphiques et images.</w:t>
      </w:r>
    </w:p>
    <w:p w:rsidR="0003361A" w:rsidRPr="0003361A" w:rsidRDefault="0003361A" w:rsidP="00740CC0">
      <w:pPr>
        <w:jc w:val="both"/>
        <w:rPr>
          <w:rFonts w:asciiTheme="majorBidi" w:hAnsiTheme="majorBidi" w:cstheme="majorBidi"/>
          <w:color w:val="000000" w:themeColor="text1"/>
          <w:sz w:val="24"/>
          <w:szCs w:val="24"/>
          <w:shd w:val="clear" w:color="auto" w:fill="FFFFFF"/>
        </w:rPr>
      </w:pPr>
    </w:p>
    <w:p w:rsidR="00740CC0" w:rsidRPr="00740CC0" w:rsidRDefault="00740CC0" w:rsidP="00740CC0">
      <w:pPr>
        <w:jc w:val="both"/>
        <w:rPr>
          <w:rFonts w:asciiTheme="majorBidi" w:hAnsiTheme="majorBidi" w:cstheme="majorBidi"/>
          <w:sz w:val="24"/>
          <w:szCs w:val="24"/>
        </w:rPr>
      </w:pPr>
    </w:p>
    <w:p w:rsidR="00740CC0" w:rsidRDefault="00740CC0" w:rsidP="00740CC0">
      <w:pPr>
        <w:tabs>
          <w:tab w:val="center" w:pos="4536"/>
        </w:tabs>
      </w:pPr>
    </w:p>
    <w:p w:rsidR="005F5E98" w:rsidRDefault="005F5E98" w:rsidP="00740CC0">
      <w:pPr>
        <w:tabs>
          <w:tab w:val="center" w:pos="4536"/>
        </w:tabs>
      </w:pPr>
    </w:p>
    <w:p w:rsidR="005F5E98" w:rsidRDefault="005F5E98" w:rsidP="00740CC0">
      <w:pPr>
        <w:tabs>
          <w:tab w:val="center" w:pos="4536"/>
        </w:tabs>
      </w:pPr>
    </w:p>
    <w:p w:rsidR="005F5E98" w:rsidRDefault="005F5E98" w:rsidP="00740CC0">
      <w:pPr>
        <w:tabs>
          <w:tab w:val="center" w:pos="4536"/>
        </w:tabs>
      </w:pPr>
    </w:p>
    <w:p w:rsidR="005F5E98" w:rsidRDefault="005F5E98" w:rsidP="00740CC0">
      <w:pPr>
        <w:tabs>
          <w:tab w:val="center" w:pos="4536"/>
        </w:tabs>
      </w:pPr>
    </w:p>
    <w:p w:rsidR="005F5E98" w:rsidRDefault="005F5E98" w:rsidP="00740CC0">
      <w:pPr>
        <w:tabs>
          <w:tab w:val="center" w:pos="4536"/>
        </w:tabs>
      </w:pPr>
    </w:p>
    <w:p w:rsidR="005F5E98" w:rsidRDefault="005F5E98" w:rsidP="00740CC0">
      <w:pPr>
        <w:tabs>
          <w:tab w:val="center" w:pos="4536"/>
        </w:tabs>
      </w:pPr>
    </w:p>
    <w:p w:rsidR="005F5E98" w:rsidRDefault="005F5E98" w:rsidP="00740CC0">
      <w:pPr>
        <w:tabs>
          <w:tab w:val="center" w:pos="4536"/>
        </w:tabs>
      </w:pPr>
    </w:p>
    <w:p w:rsidR="005F5E98" w:rsidRDefault="005F5E98" w:rsidP="00740CC0">
      <w:pPr>
        <w:tabs>
          <w:tab w:val="center" w:pos="4536"/>
        </w:tabs>
      </w:pPr>
    </w:p>
    <w:p w:rsidR="005F5E98" w:rsidRDefault="005F5E98" w:rsidP="00740CC0">
      <w:pPr>
        <w:tabs>
          <w:tab w:val="center" w:pos="4536"/>
        </w:tabs>
      </w:pPr>
    </w:p>
    <w:p w:rsidR="005F5E98" w:rsidRDefault="005F5E98" w:rsidP="00740CC0">
      <w:pPr>
        <w:tabs>
          <w:tab w:val="center" w:pos="4536"/>
        </w:tabs>
      </w:pPr>
    </w:p>
    <w:p w:rsidR="00112221" w:rsidRDefault="00112221" w:rsidP="009132C5">
      <w:pPr>
        <w:tabs>
          <w:tab w:val="center" w:pos="4536"/>
        </w:tabs>
        <w:rPr>
          <w:rFonts w:asciiTheme="majorBidi" w:hAnsiTheme="majorBidi" w:cstheme="majorBidi"/>
          <w:b/>
          <w:bCs/>
          <w:sz w:val="24"/>
          <w:szCs w:val="24"/>
          <w:u w:val="single"/>
        </w:rPr>
      </w:pPr>
      <w:r>
        <w:rPr>
          <w:rFonts w:asciiTheme="majorBidi" w:hAnsiTheme="majorBidi" w:cstheme="majorBidi"/>
          <w:b/>
          <w:bCs/>
          <w:sz w:val="24"/>
          <w:szCs w:val="24"/>
          <w:u w:val="single"/>
        </w:rPr>
        <w:lastRenderedPageBreak/>
        <w:t>Questions TP1</w:t>
      </w:r>
    </w:p>
    <w:p w:rsidR="008129C1" w:rsidRPr="00787E66" w:rsidRDefault="008129C1" w:rsidP="008129C1">
      <w:pPr>
        <w:rPr>
          <w:rFonts w:asciiTheme="majorBidi" w:hAnsiTheme="majorBidi" w:cstheme="majorBidi"/>
          <w:sz w:val="24"/>
          <w:szCs w:val="24"/>
        </w:rPr>
      </w:pPr>
    </w:p>
    <w:p w:rsidR="008129C1" w:rsidRPr="00B53D4D" w:rsidRDefault="008129C1" w:rsidP="008129C1">
      <w:pPr>
        <w:rPr>
          <w:rFonts w:asciiTheme="majorBidi" w:hAnsiTheme="majorBidi" w:cstheme="majorBidi"/>
          <w:b/>
          <w:bCs/>
          <w:sz w:val="24"/>
          <w:szCs w:val="24"/>
          <w:u w:val="single"/>
        </w:rPr>
      </w:pPr>
      <w:r w:rsidRPr="00B53D4D">
        <w:rPr>
          <w:rFonts w:asciiTheme="majorBidi" w:hAnsiTheme="majorBidi" w:cstheme="majorBidi"/>
          <w:b/>
          <w:bCs/>
          <w:sz w:val="24"/>
          <w:szCs w:val="24"/>
          <w:u w:val="single"/>
        </w:rPr>
        <w:t>Questions (TP1)</w:t>
      </w:r>
    </w:p>
    <w:p w:rsidR="008129C1" w:rsidRPr="00B53D4D" w:rsidRDefault="008129C1" w:rsidP="008129C1">
      <w:pPr>
        <w:rPr>
          <w:rFonts w:asciiTheme="majorBidi" w:hAnsiTheme="majorBidi" w:cstheme="majorBidi"/>
          <w:sz w:val="24"/>
          <w:szCs w:val="24"/>
        </w:rPr>
      </w:pPr>
      <w:r w:rsidRPr="00B53D4D">
        <w:rPr>
          <w:rFonts w:asciiTheme="majorBidi" w:hAnsiTheme="majorBidi" w:cstheme="majorBidi"/>
          <w:sz w:val="24"/>
          <w:szCs w:val="24"/>
        </w:rPr>
        <w:t>1/ Cite</w:t>
      </w:r>
      <w:r>
        <w:rPr>
          <w:rFonts w:asciiTheme="majorBidi" w:hAnsiTheme="majorBidi" w:cstheme="majorBidi"/>
          <w:sz w:val="24"/>
          <w:szCs w:val="24"/>
        </w:rPr>
        <w:t>z</w:t>
      </w:r>
      <w:r w:rsidRPr="00B53D4D">
        <w:rPr>
          <w:rFonts w:asciiTheme="majorBidi" w:hAnsiTheme="majorBidi" w:cstheme="majorBidi"/>
          <w:sz w:val="24"/>
          <w:szCs w:val="24"/>
        </w:rPr>
        <w:t xml:space="preserve"> le but du choix d’un excipent</w:t>
      </w:r>
      <w:r>
        <w:rPr>
          <w:rFonts w:asciiTheme="majorBidi" w:hAnsiTheme="majorBidi" w:cstheme="majorBidi"/>
          <w:sz w:val="24"/>
          <w:szCs w:val="24"/>
        </w:rPr>
        <w:t xml:space="preserve"> (véhicule)</w:t>
      </w:r>
      <w:r w:rsidRPr="00B53D4D">
        <w:rPr>
          <w:rFonts w:asciiTheme="majorBidi" w:hAnsiTheme="majorBidi" w:cstheme="majorBidi"/>
          <w:sz w:val="24"/>
          <w:szCs w:val="24"/>
        </w:rPr>
        <w:t xml:space="preserve"> hydrophile pour une substance hydrophile et un excipient lipophile pour une substance lipophile. </w:t>
      </w:r>
    </w:p>
    <w:p w:rsidR="008129C1" w:rsidRPr="00B53D4D" w:rsidRDefault="008129C1" w:rsidP="008129C1">
      <w:pPr>
        <w:rPr>
          <w:rFonts w:asciiTheme="majorBidi" w:hAnsiTheme="majorBidi" w:cstheme="majorBidi"/>
          <w:sz w:val="24"/>
          <w:szCs w:val="24"/>
        </w:rPr>
      </w:pPr>
      <w:r w:rsidRPr="00B53D4D">
        <w:rPr>
          <w:rFonts w:asciiTheme="majorBidi" w:hAnsiTheme="majorBidi" w:cstheme="majorBidi"/>
          <w:sz w:val="24"/>
          <w:szCs w:val="24"/>
        </w:rPr>
        <w:t>2/ Donne</w:t>
      </w:r>
      <w:r>
        <w:rPr>
          <w:rFonts w:asciiTheme="majorBidi" w:hAnsiTheme="majorBidi" w:cstheme="majorBidi"/>
          <w:sz w:val="24"/>
          <w:szCs w:val="24"/>
        </w:rPr>
        <w:t>z</w:t>
      </w:r>
      <w:r w:rsidRPr="00B53D4D">
        <w:rPr>
          <w:rFonts w:asciiTheme="majorBidi" w:hAnsiTheme="majorBidi" w:cstheme="majorBidi"/>
          <w:sz w:val="24"/>
          <w:szCs w:val="24"/>
        </w:rPr>
        <w:t xml:space="preserve"> un exemple d’un excipient hydrophile et un excipient lipophile </w:t>
      </w:r>
    </w:p>
    <w:p w:rsidR="008129C1" w:rsidRPr="00B53D4D" w:rsidRDefault="008129C1" w:rsidP="008129C1">
      <w:pPr>
        <w:rPr>
          <w:rFonts w:asciiTheme="majorBidi" w:hAnsiTheme="majorBidi" w:cstheme="majorBidi"/>
          <w:sz w:val="24"/>
          <w:szCs w:val="24"/>
        </w:rPr>
      </w:pPr>
      <w:r w:rsidRPr="00B53D4D">
        <w:rPr>
          <w:rFonts w:asciiTheme="majorBidi" w:hAnsiTheme="majorBidi" w:cstheme="majorBidi"/>
          <w:sz w:val="24"/>
          <w:szCs w:val="24"/>
        </w:rPr>
        <w:t xml:space="preserve">3/ </w:t>
      </w:r>
      <w:r>
        <w:rPr>
          <w:rFonts w:asciiTheme="majorBidi" w:hAnsiTheme="majorBidi" w:cstheme="majorBidi"/>
          <w:sz w:val="24"/>
          <w:szCs w:val="24"/>
        </w:rPr>
        <w:t xml:space="preserve">Indiquez l’importance </w:t>
      </w:r>
      <w:r w:rsidRPr="00B53D4D">
        <w:rPr>
          <w:rFonts w:asciiTheme="majorBidi" w:hAnsiTheme="majorBidi" w:cstheme="majorBidi"/>
          <w:sz w:val="24"/>
          <w:szCs w:val="24"/>
        </w:rPr>
        <w:t xml:space="preserve">de l’utilisation du groupe témoin négatif </w:t>
      </w:r>
      <w:r>
        <w:rPr>
          <w:rFonts w:asciiTheme="majorBidi" w:hAnsiTheme="majorBidi" w:cstheme="majorBidi"/>
          <w:sz w:val="24"/>
          <w:szCs w:val="24"/>
        </w:rPr>
        <w:t>dans une étude expérimentale.</w:t>
      </w:r>
    </w:p>
    <w:p w:rsidR="008129C1" w:rsidRPr="00B53D4D" w:rsidRDefault="008129C1" w:rsidP="008129C1">
      <w:pPr>
        <w:rPr>
          <w:rFonts w:asciiTheme="majorBidi" w:hAnsiTheme="majorBidi" w:cstheme="majorBidi"/>
          <w:sz w:val="24"/>
          <w:szCs w:val="24"/>
        </w:rPr>
      </w:pPr>
      <w:r w:rsidRPr="00B53D4D">
        <w:rPr>
          <w:rFonts w:asciiTheme="majorBidi" w:hAnsiTheme="majorBidi" w:cstheme="majorBidi"/>
          <w:sz w:val="24"/>
          <w:szCs w:val="24"/>
        </w:rPr>
        <w:t>4/ Citer le</w:t>
      </w:r>
      <w:r>
        <w:rPr>
          <w:rFonts w:asciiTheme="majorBidi" w:hAnsiTheme="majorBidi" w:cstheme="majorBidi"/>
          <w:sz w:val="24"/>
          <w:szCs w:val="24"/>
        </w:rPr>
        <w:t>s avantages</w:t>
      </w:r>
      <w:r w:rsidRPr="00B53D4D">
        <w:rPr>
          <w:rFonts w:asciiTheme="majorBidi" w:hAnsiTheme="majorBidi" w:cstheme="majorBidi"/>
          <w:sz w:val="24"/>
          <w:szCs w:val="24"/>
        </w:rPr>
        <w:t xml:space="preserve"> de</w:t>
      </w:r>
      <w:r>
        <w:rPr>
          <w:rFonts w:asciiTheme="majorBidi" w:hAnsiTheme="majorBidi" w:cstheme="majorBidi"/>
          <w:sz w:val="24"/>
          <w:szCs w:val="24"/>
        </w:rPr>
        <w:t xml:space="preserve"> la</w:t>
      </w:r>
      <w:r w:rsidRPr="00B53D4D">
        <w:rPr>
          <w:rFonts w:asciiTheme="majorBidi" w:hAnsiTheme="majorBidi" w:cstheme="majorBidi"/>
          <w:sz w:val="24"/>
          <w:szCs w:val="24"/>
        </w:rPr>
        <w:t xml:space="preserve"> réduction d</w:t>
      </w:r>
      <w:r>
        <w:rPr>
          <w:rFonts w:asciiTheme="majorBidi" w:hAnsiTheme="majorBidi" w:cstheme="majorBidi"/>
          <w:sz w:val="24"/>
          <w:szCs w:val="24"/>
        </w:rPr>
        <w:t>u</w:t>
      </w:r>
      <w:r w:rsidRPr="00B53D4D">
        <w:rPr>
          <w:rFonts w:asciiTheme="majorBidi" w:hAnsiTheme="majorBidi" w:cstheme="majorBidi"/>
          <w:sz w:val="24"/>
          <w:szCs w:val="24"/>
        </w:rPr>
        <w:t xml:space="preserve"> nombre des groupes d</w:t>
      </w:r>
      <w:r>
        <w:rPr>
          <w:rFonts w:asciiTheme="majorBidi" w:hAnsiTheme="majorBidi" w:cstheme="majorBidi"/>
          <w:sz w:val="24"/>
          <w:szCs w:val="24"/>
        </w:rPr>
        <w:t xml:space="preserve">’une </w:t>
      </w:r>
      <w:r w:rsidRPr="00B53D4D">
        <w:rPr>
          <w:rFonts w:asciiTheme="majorBidi" w:hAnsiTheme="majorBidi" w:cstheme="majorBidi"/>
          <w:sz w:val="24"/>
          <w:szCs w:val="24"/>
        </w:rPr>
        <w:t>étude</w:t>
      </w:r>
      <w:r>
        <w:rPr>
          <w:rFonts w:asciiTheme="majorBidi" w:hAnsiTheme="majorBidi" w:cstheme="majorBidi"/>
          <w:sz w:val="24"/>
          <w:szCs w:val="24"/>
        </w:rPr>
        <w:t xml:space="preserve"> expérimentale</w:t>
      </w:r>
      <w:r>
        <w:rPr>
          <w:rFonts w:asciiTheme="majorBidi" w:hAnsiTheme="majorBidi" w:cstheme="majorBidi"/>
          <w:sz w:val="24"/>
          <w:szCs w:val="24"/>
        </w:rPr>
        <w:t>.</w:t>
      </w:r>
    </w:p>
    <w:p w:rsidR="00112221" w:rsidRDefault="00112221" w:rsidP="009132C5">
      <w:pPr>
        <w:tabs>
          <w:tab w:val="center" w:pos="4536"/>
        </w:tabs>
        <w:rPr>
          <w:rFonts w:asciiTheme="majorBidi" w:hAnsiTheme="majorBidi" w:cstheme="majorBidi"/>
          <w:b/>
          <w:bCs/>
          <w:sz w:val="24"/>
          <w:szCs w:val="24"/>
          <w:u w:val="single"/>
        </w:rPr>
      </w:pPr>
    </w:p>
    <w:p w:rsidR="009132C5" w:rsidRPr="00943F7F" w:rsidRDefault="005F5E98" w:rsidP="009132C5">
      <w:pPr>
        <w:tabs>
          <w:tab w:val="center" w:pos="4536"/>
        </w:tabs>
        <w:rPr>
          <w:rFonts w:asciiTheme="majorBidi" w:hAnsiTheme="majorBidi" w:cstheme="majorBidi"/>
          <w:b/>
          <w:bCs/>
          <w:sz w:val="24"/>
          <w:szCs w:val="24"/>
          <w:u w:val="single"/>
        </w:rPr>
      </w:pPr>
      <w:bookmarkStart w:id="0" w:name="_GoBack"/>
      <w:bookmarkEnd w:id="0"/>
      <w:r w:rsidRPr="00943F7F">
        <w:rPr>
          <w:rFonts w:asciiTheme="majorBidi" w:hAnsiTheme="majorBidi" w:cstheme="majorBidi"/>
          <w:b/>
          <w:bCs/>
          <w:sz w:val="24"/>
          <w:szCs w:val="24"/>
          <w:u w:val="single"/>
        </w:rPr>
        <w:t>Question</w:t>
      </w:r>
      <w:r w:rsidR="00112221">
        <w:rPr>
          <w:rFonts w:asciiTheme="majorBidi" w:hAnsiTheme="majorBidi" w:cstheme="majorBidi"/>
          <w:b/>
          <w:bCs/>
          <w:sz w:val="24"/>
          <w:szCs w:val="24"/>
          <w:u w:val="single"/>
        </w:rPr>
        <w:t>s</w:t>
      </w:r>
      <w:r w:rsidRPr="00943F7F">
        <w:rPr>
          <w:rFonts w:asciiTheme="majorBidi" w:hAnsiTheme="majorBidi" w:cstheme="majorBidi"/>
          <w:b/>
          <w:bCs/>
          <w:sz w:val="24"/>
          <w:szCs w:val="24"/>
          <w:u w:val="single"/>
        </w:rPr>
        <w:t xml:space="preserve"> TP </w:t>
      </w:r>
      <w:r w:rsidR="00943F7F" w:rsidRPr="00943F7F">
        <w:rPr>
          <w:rFonts w:asciiTheme="majorBidi" w:hAnsiTheme="majorBidi" w:cstheme="majorBidi"/>
          <w:b/>
          <w:bCs/>
          <w:sz w:val="24"/>
          <w:szCs w:val="24"/>
          <w:u w:val="single"/>
        </w:rPr>
        <w:t>2</w:t>
      </w:r>
    </w:p>
    <w:p w:rsidR="002C6BD7" w:rsidRPr="009132C5" w:rsidRDefault="002C6BD7" w:rsidP="00740CC0">
      <w:pPr>
        <w:tabs>
          <w:tab w:val="center" w:pos="4536"/>
        </w:tabs>
        <w:rPr>
          <w:rFonts w:asciiTheme="majorBidi" w:hAnsiTheme="majorBidi" w:cstheme="majorBidi"/>
          <w:sz w:val="24"/>
          <w:szCs w:val="24"/>
        </w:rPr>
      </w:pPr>
      <w:r w:rsidRPr="009132C5">
        <w:rPr>
          <w:rFonts w:asciiTheme="majorBidi" w:hAnsiTheme="majorBidi" w:cstheme="majorBidi"/>
          <w:sz w:val="24"/>
          <w:szCs w:val="24"/>
        </w:rPr>
        <w:t>1/ Quel est le but du projet IMPC</w:t>
      </w:r>
    </w:p>
    <w:p w:rsidR="002C6BD7" w:rsidRPr="009132C5" w:rsidRDefault="002C6BD7" w:rsidP="00740CC0">
      <w:pPr>
        <w:tabs>
          <w:tab w:val="center" w:pos="4536"/>
        </w:tabs>
        <w:rPr>
          <w:rFonts w:asciiTheme="majorBidi" w:hAnsiTheme="majorBidi" w:cstheme="majorBidi"/>
          <w:sz w:val="24"/>
          <w:szCs w:val="24"/>
        </w:rPr>
      </w:pPr>
      <w:r w:rsidRPr="009132C5">
        <w:rPr>
          <w:rFonts w:asciiTheme="majorBidi" w:hAnsiTheme="majorBidi" w:cstheme="majorBidi"/>
          <w:sz w:val="24"/>
          <w:szCs w:val="24"/>
        </w:rPr>
        <w:t xml:space="preserve">2/ Quelle est </w:t>
      </w:r>
      <w:r w:rsidR="009132C5" w:rsidRPr="009132C5">
        <w:rPr>
          <w:rFonts w:asciiTheme="majorBidi" w:hAnsiTheme="majorBidi" w:cstheme="majorBidi"/>
          <w:sz w:val="24"/>
          <w:szCs w:val="24"/>
        </w:rPr>
        <w:t>la stratégie</w:t>
      </w:r>
      <w:r w:rsidR="009132C5">
        <w:rPr>
          <w:rFonts w:asciiTheme="majorBidi" w:hAnsiTheme="majorBidi" w:cstheme="majorBidi"/>
          <w:sz w:val="24"/>
          <w:szCs w:val="24"/>
        </w:rPr>
        <w:t xml:space="preserve"> suivie</w:t>
      </w:r>
      <w:r w:rsidRPr="009132C5">
        <w:rPr>
          <w:rFonts w:asciiTheme="majorBidi" w:hAnsiTheme="majorBidi" w:cstheme="majorBidi"/>
          <w:sz w:val="24"/>
          <w:szCs w:val="24"/>
        </w:rPr>
        <w:t xml:space="preserve"> </w:t>
      </w:r>
      <w:r w:rsidR="009132C5">
        <w:rPr>
          <w:rFonts w:asciiTheme="majorBidi" w:hAnsiTheme="majorBidi" w:cstheme="majorBidi"/>
          <w:sz w:val="24"/>
          <w:szCs w:val="24"/>
        </w:rPr>
        <w:t>par l’</w:t>
      </w:r>
      <w:r w:rsidRPr="009132C5">
        <w:rPr>
          <w:rFonts w:asciiTheme="majorBidi" w:hAnsiTheme="majorBidi" w:cstheme="majorBidi"/>
          <w:sz w:val="24"/>
          <w:szCs w:val="24"/>
        </w:rPr>
        <w:t xml:space="preserve">IMPC pour atteindre ce but </w:t>
      </w:r>
    </w:p>
    <w:p w:rsidR="002C6BD7" w:rsidRDefault="002C6BD7" w:rsidP="009132C5">
      <w:pPr>
        <w:tabs>
          <w:tab w:val="center" w:pos="4536"/>
        </w:tabs>
        <w:jc w:val="both"/>
        <w:rPr>
          <w:rFonts w:asciiTheme="majorBidi" w:hAnsiTheme="majorBidi" w:cstheme="majorBidi"/>
          <w:color w:val="202122"/>
          <w:sz w:val="24"/>
          <w:szCs w:val="24"/>
          <w:shd w:val="clear" w:color="auto" w:fill="FFFFFF"/>
        </w:rPr>
      </w:pPr>
      <w:r w:rsidRPr="00943F7F">
        <w:rPr>
          <w:rFonts w:asciiTheme="majorBidi" w:hAnsiTheme="majorBidi" w:cstheme="majorBidi"/>
          <w:b/>
          <w:bCs/>
          <w:sz w:val="24"/>
          <w:szCs w:val="24"/>
        </w:rPr>
        <w:t xml:space="preserve">3/ </w:t>
      </w:r>
      <w:r w:rsidR="00943F7F" w:rsidRPr="00943F7F">
        <w:rPr>
          <w:rFonts w:asciiTheme="majorBidi" w:hAnsiTheme="majorBidi" w:cstheme="majorBidi"/>
          <w:color w:val="202122"/>
          <w:sz w:val="24"/>
          <w:szCs w:val="24"/>
          <w:shd w:val="clear" w:color="auto" w:fill="FFFFFF"/>
        </w:rPr>
        <w:t>Le gène </w:t>
      </w:r>
      <w:bookmarkStart w:id="1" w:name="_Hlk74667606"/>
      <w:r w:rsidR="00943F7F" w:rsidRPr="00943F7F">
        <w:rPr>
          <w:rFonts w:asciiTheme="majorBidi" w:hAnsiTheme="majorBidi" w:cstheme="majorBidi"/>
          <w:i/>
          <w:iCs/>
          <w:color w:val="202122"/>
          <w:sz w:val="24"/>
          <w:szCs w:val="24"/>
          <w:shd w:val="clear" w:color="auto" w:fill="FFFFFF"/>
        </w:rPr>
        <w:t>IDE</w:t>
      </w:r>
      <w:r w:rsidR="00943F7F" w:rsidRPr="00943F7F">
        <w:rPr>
          <w:rFonts w:asciiTheme="majorBidi" w:hAnsiTheme="majorBidi" w:cstheme="majorBidi"/>
          <w:color w:val="202122"/>
          <w:sz w:val="24"/>
          <w:szCs w:val="24"/>
          <w:shd w:val="clear" w:color="auto" w:fill="FFFFFF"/>
        </w:rPr>
        <w:t> </w:t>
      </w:r>
      <w:bookmarkEnd w:id="1"/>
      <w:r w:rsidR="00943F7F" w:rsidRPr="00943F7F">
        <w:rPr>
          <w:rFonts w:asciiTheme="majorBidi" w:hAnsiTheme="majorBidi" w:cstheme="majorBidi"/>
          <w:color w:val="202122"/>
          <w:sz w:val="24"/>
          <w:szCs w:val="24"/>
          <w:shd w:val="clear" w:color="auto" w:fill="FFFFFF"/>
        </w:rPr>
        <w:t>code pour la protéine </w:t>
      </w:r>
      <w:r w:rsidR="00943F7F" w:rsidRPr="00943F7F">
        <w:rPr>
          <w:rFonts w:asciiTheme="majorBidi" w:hAnsiTheme="majorBidi" w:cstheme="majorBidi"/>
          <w:b/>
          <w:bCs/>
          <w:color w:val="202122"/>
          <w:sz w:val="24"/>
          <w:szCs w:val="24"/>
          <w:shd w:val="clear" w:color="auto" w:fill="FFFFFF"/>
        </w:rPr>
        <w:t>Enzyme dégradant l'insuline</w:t>
      </w:r>
      <w:r w:rsidR="00943F7F" w:rsidRPr="00943F7F">
        <w:rPr>
          <w:rFonts w:asciiTheme="majorBidi" w:hAnsiTheme="majorBidi" w:cstheme="majorBidi"/>
          <w:color w:val="202122"/>
          <w:sz w:val="24"/>
          <w:szCs w:val="24"/>
          <w:shd w:val="clear" w:color="auto" w:fill="FFFFFF"/>
        </w:rPr>
        <w:t>. L'IDE a d'abord été identifié par sa capacité à dégrader la chaîne B de l'hormone </w:t>
      </w:r>
      <w:r w:rsidR="00D257F0">
        <w:rPr>
          <w:rFonts w:asciiTheme="majorBidi" w:hAnsiTheme="majorBidi" w:cstheme="majorBidi"/>
          <w:sz w:val="24"/>
          <w:szCs w:val="24"/>
        </w:rPr>
        <w:t>insuline</w:t>
      </w:r>
      <w:r w:rsidR="00943F7F" w:rsidRPr="00943F7F">
        <w:rPr>
          <w:rFonts w:asciiTheme="majorBidi" w:hAnsiTheme="majorBidi" w:cstheme="majorBidi"/>
          <w:color w:val="202122"/>
          <w:sz w:val="24"/>
          <w:szCs w:val="24"/>
          <w:shd w:val="clear" w:color="auto" w:fill="FFFFFF"/>
        </w:rPr>
        <w:t>.</w:t>
      </w:r>
      <w:r w:rsidR="00D257F0">
        <w:rPr>
          <w:rFonts w:asciiTheme="majorBidi" w:hAnsiTheme="majorBidi" w:cstheme="majorBidi"/>
          <w:color w:val="202122"/>
          <w:sz w:val="24"/>
          <w:szCs w:val="24"/>
          <w:shd w:val="clear" w:color="auto" w:fill="FFFFFF"/>
        </w:rPr>
        <w:t xml:space="preserve"> Cependant, il semble que l’</w:t>
      </w:r>
      <w:r w:rsidR="00D257F0" w:rsidRPr="00943F7F">
        <w:rPr>
          <w:rFonts w:asciiTheme="majorBidi" w:hAnsiTheme="majorBidi" w:cstheme="majorBidi"/>
          <w:i/>
          <w:iCs/>
          <w:color w:val="202122"/>
          <w:sz w:val="24"/>
          <w:szCs w:val="24"/>
          <w:shd w:val="clear" w:color="auto" w:fill="FFFFFF"/>
        </w:rPr>
        <w:t>IDE</w:t>
      </w:r>
      <w:r w:rsidR="00D257F0" w:rsidRPr="00943F7F">
        <w:rPr>
          <w:rFonts w:asciiTheme="majorBidi" w:hAnsiTheme="majorBidi" w:cstheme="majorBidi"/>
          <w:color w:val="202122"/>
          <w:sz w:val="24"/>
          <w:szCs w:val="24"/>
          <w:shd w:val="clear" w:color="auto" w:fill="FFFFFF"/>
        </w:rPr>
        <w:t> </w:t>
      </w:r>
      <w:r w:rsidR="00D257F0">
        <w:rPr>
          <w:rFonts w:asciiTheme="majorBidi" w:hAnsiTheme="majorBidi" w:cstheme="majorBidi"/>
          <w:color w:val="202122"/>
          <w:sz w:val="24"/>
          <w:szCs w:val="24"/>
          <w:shd w:val="clear" w:color="auto" w:fill="FFFFFF"/>
        </w:rPr>
        <w:t>possède de multiples fonctions.</w:t>
      </w:r>
    </w:p>
    <w:p w:rsidR="009132C5" w:rsidRDefault="009132C5" w:rsidP="009132C5">
      <w:pPr>
        <w:tabs>
          <w:tab w:val="center" w:pos="4536"/>
        </w:tabs>
        <w:jc w:val="both"/>
        <w:rPr>
          <w:rFonts w:asciiTheme="majorBidi" w:hAnsiTheme="majorBidi" w:cstheme="majorBidi"/>
          <w:color w:val="202122"/>
          <w:sz w:val="24"/>
          <w:szCs w:val="24"/>
          <w:shd w:val="clear" w:color="auto" w:fill="FFFFFF"/>
        </w:rPr>
      </w:pPr>
      <w:r>
        <w:rPr>
          <w:rFonts w:asciiTheme="majorBidi" w:hAnsiTheme="majorBidi" w:cstheme="majorBidi"/>
          <w:color w:val="202122"/>
          <w:sz w:val="24"/>
          <w:szCs w:val="24"/>
          <w:shd w:val="clear" w:color="auto" w:fill="FFFFFF"/>
        </w:rPr>
        <w:t xml:space="preserve">Consultez la base IMPC pour : </w:t>
      </w:r>
    </w:p>
    <w:p w:rsidR="009132C5" w:rsidRDefault="009132C5" w:rsidP="009132C5">
      <w:pPr>
        <w:tabs>
          <w:tab w:val="center" w:pos="4536"/>
        </w:tabs>
        <w:jc w:val="both"/>
        <w:rPr>
          <w:rFonts w:asciiTheme="majorBidi" w:hAnsiTheme="majorBidi" w:cstheme="majorBidi"/>
          <w:color w:val="202122"/>
          <w:sz w:val="24"/>
          <w:szCs w:val="24"/>
          <w:shd w:val="clear" w:color="auto" w:fill="FFFFFF"/>
        </w:rPr>
      </w:pPr>
      <w:r>
        <w:rPr>
          <w:rFonts w:asciiTheme="majorBidi" w:hAnsiTheme="majorBidi" w:cstheme="majorBidi"/>
          <w:color w:val="202122"/>
          <w:sz w:val="24"/>
          <w:szCs w:val="24"/>
          <w:shd w:val="clear" w:color="auto" w:fill="FFFFFF"/>
        </w:rPr>
        <w:t>*</w:t>
      </w:r>
      <w:r w:rsidR="004141BE">
        <w:rPr>
          <w:rFonts w:asciiTheme="majorBidi" w:hAnsiTheme="majorBidi" w:cstheme="majorBidi"/>
          <w:color w:val="202122"/>
          <w:sz w:val="24"/>
          <w:szCs w:val="24"/>
          <w:shd w:val="clear" w:color="auto" w:fill="FFFFFF"/>
        </w:rPr>
        <w:t>Identifier l</w:t>
      </w:r>
      <w:r w:rsidR="00E70312">
        <w:rPr>
          <w:rFonts w:asciiTheme="majorBidi" w:hAnsiTheme="majorBidi" w:cstheme="majorBidi"/>
          <w:color w:val="202122"/>
          <w:sz w:val="24"/>
          <w:szCs w:val="24"/>
          <w:shd w:val="clear" w:color="auto" w:fill="FFFFFF"/>
        </w:rPr>
        <w:t xml:space="preserve">es grands systèmes affectés par le knockout </w:t>
      </w:r>
      <w:proofErr w:type="gramStart"/>
      <w:r w:rsidR="00E70312">
        <w:rPr>
          <w:rFonts w:asciiTheme="majorBidi" w:hAnsiTheme="majorBidi" w:cstheme="majorBidi"/>
          <w:color w:val="202122"/>
          <w:sz w:val="24"/>
          <w:szCs w:val="24"/>
          <w:shd w:val="clear" w:color="auto" w:fill="FFFFFF"/>
        </w:rPr>
        <w:t>du IDE</w:t>
      </w:r>
      <w:proofErr w:type="gramEnd"/>
      <w:r w:rsidR="00E70312">
        <w:rPr>
          <w:rFonts w:asciiTheme="majorBidi" w:hAnsiTheme="majorBidi" w:cstheme="majorBidi"/>
          <w:color w:val="202122"/>
          <w:sz w:val="24"/>
          <w:szCs w:val="24"/>
          <w:shd w:val="clear" w:color="auto" w:fill="FFFFFF"/>
        </w:rPr>
        <w:t>.</w:t>
      </w:r>
    </w:p>
    <w:p w:rsidR="00E70312" w:rsidRDefault="00E70312" w:rsidP="009132C5">
      <w:pPr>
        <w:tabs>
          <w:tab w:val="center" w:pos="4536"/>
        </w:tabs>
        <w:jc w:val="both"/>
        <w:rPr>
          <w:rFonts w:asciiTheme="majorBidi" w:hAnsiTheme="majorBidi" w:cstheme="majorBidi"/>
          <w:color w:val="202122"/>
          <w:sz w:val="24"/>
          <w:szCs w:val="24"/>
          <w:shd w:val="clear" w:color="auto" w:fill="FFFFFF"/>
        </w:rPr>
      </w:pPr>
      <w:r>
        <w:rPr>
          <w:rFonts w:asciiTheme="majorBidi" w:hAnsiTheme="majorBidi" w:cstheme="majorBidi"/>
          <w:color w:val="202122"/>
          <w:sz w:val="24"/>
          <w:szCs w:val="24"/>
          <w:shd w:val="clear" w:color="auto" w:fill="FFFFFF"/>
        </w:rPr>
        <w:t>*Citez un effet sexe indépendant, 2 effets sélectifs au sexe male et 2 effets sélectifs au sexe femelle.</w:t>
      </w:r>
    </w:p>
    <w:p w:rsidR="006E5CF2" w:rsidRDefault="00E70312" w:rsidP="009132C5">
      <w:pPr>
        <w:tabs>
          <w:tab w:val="center" w:pos="4536"/>
        </w:tabs>
        <w:jc w:val="both"/>
        <w:rPr>
          <w:rFonts w:asciiTheme="majorBidi" w:hAnsiTheme="majorBidi" w:cstheme="majorBidi"/>
          <w:color w:val="202122"/>
          <w:sz w:val="24"/>
          <w:szCs w:val="24"/>
          <w:shd w:val="clear" w:color="auto" w:fill="FFFFFF"/>
        </w:rPr>
      </w:pPr>
      <w:r>
        <w:rPr>
          <w:rFonts w:asciiTheme="majorBidi" w:hAnsiTheme="majorBidi" w:cstheme="majorBidi"/>
          <w:color w:val="202122"/>
          <w:sz w:val="24"/>
          <w:szCs w:val="24"/>
          <w:shd w:val="clear" w:color="auto" w:fill="FFFFFF"/>
        </w:rPr>
        <w:t xml:space="preserve">*Vérifiez l’effet du knockout du IDE sur l’activité de </w:t>
      </w:r>
      <w:proofErr w:type="gramStart"/>
      <w:r>
        <w:rPr>
          <w:rFonts w:asciiTheme="majorBidi" w:hAnsiTheme="majorBidi" w:cstheme="majorBidi"/>
          <w:color w:val="202122"/>
          <w:sz w:val="24"/>
          <w:szCs w:val="24"/>
          <w:shd w:val="clear" w:color="auto" w:fill="FFFFFF"/>
        </w:rPr>
        <w:t>l’ a</w:t>
      </w:r>
      <w:proofErr w:type="gramEnd"/>
      <w:r>
        <w:rPr>
          <w:rFonts w:asciiTheme="majorBidi" w:hAnsiTheme="majorBidi" w:cstheme="majorBidi"/>
          <w:color w:val="202122"/>
          <w:sz w:val="24"/>
          <w:szCs w:val="24"/>
          <w:shd w:val="clear" w:color="auto" w:fill="FFFFFF"/>
        </w:rPr>
        <w:t xml:space="preserve"> amylase.</w:t>
      </w:r>
    </w:p>
    <w:p w:rsidR="00E70312" w:rsidRDefault="006E5CF2" w:rsidP="009132C5">
      <w:pPr>
        <w:tabs>
          <w:tab w:val="center" w:pos="4536"/>
        </w:tabs>
        <w:jc w:val="both"/>
        <w:rPr>
          <w:rFonts w:asciiTheme="majorBidi" w:hAnsiTheme="majorBidi" w:cstheme="majorBidi"/>
          <w:color w:val="202122"/>
          <w:sz w:val="24"/>
          <w:szCs w:val="24"/>
          <w:shd w:val="clear" w:color="auto" w:fill="FFFFFF"/>
        </w:rPr>
      </w:pPr>
      <w:r>
        <w:rPr>
          <w:rFonts w:asciiTheme="majorBidi" w:hAnsiTheme="majorBidi" w:cstheme="majorBidi"/>
          <w:color w:val="202122"/>
          <w:sz w:val="24"/>
          <w:szCs w:val="24"/>
          <w:shd w:val="clear" w:color="auto" w:fill="FFFFFF"/>
        </w:rPr>
        <w:t>*</w:t>
      </w:r>
      <w:r w:rsidR="00E70312">
        <w:rPr>
          <w:rFonts w:asciiTheme="majorBidi" w:hAnsiTheme="majorBidi" w:cstheme="majorBidi"/>
          <w:color w:val="202122"/>
          <w:sz w:val="24"/>
          <w:szCs w:val="24"/>
          <w:shd w:val="clear" w:color="auto" w:fill="FFFFFF"/>
        </w:rPr>
        <w:t xml:space="preserve">  </w:t>
      </w:r>
      <w:r>
        <w:rPr>
          <w:rFonts w:asciiTheme="majorBidi" w:hAnsiTheme="majorBidi" w:cstheme="majorBidi"/>
          <w:color w:val="202122"/>
          <w:sz w:val="24"/>
          <w:szCs w:val="24"/>
          <w:shd w:val="clear" w:color="auto" w:fill="FFFFFF"/>
        </w:rPr>
        <w:t xml:space="preserve">Vérifiez l’état de l’expression </w:t>
      </w:r>
      <w:proofErr w:type="gramStart"/>
      <w:r>
        <w:rPr>
          <w:rFonts w:asciiTheme="majorBidi" w:hAnsiTheme="majorBidi" w:cstheme="majorBidi"/>
          <w:color w:val="202122"/>
          <w:sz w:val="24"/>
          <w:szCs w:val="24"/>
          <w:shd w:val="clear" w:color="auto" w:fill="FFFFFF"/>
        </w:rPr>
        <w:t>du IDE</w:t>
      </w:r>
      <w:proofErr w:type="gramEnd"/>
      <w:r>
        <w:rPr>
          <w:rFonts w:asciiTheme="majorBidi" w:hAnsiTheme="majorBidi" w:cstheme="majorBidi"/>
          <w:color w:val="202122"/>
          <w:sz w:val="24"/>
          <w:szCs w:val="24"/>
          <w:shd w:val="clear" w:color="auto" w:fill="FFFFFF"/>
        </w:rPr>
        <w:t xml:space="preserve"> dans : 1/ Cerveau ; 2/foie ; 3/ Cœur  </w:t>
      </w:r>
    </w:p>
    <w:p w:rsidR="006E5CF2" w:rsidRPr="009132C5" w:rsidRDefault="006E5CF2" w:rsidP="009132C5">
      <w:pPr>
        <w:tabs>
          <w:tab w:val="center" w:pos="4536"/>
        </w:tabs>
        <w:jc w:val="both"/>
        <w:rPr>
          <w:rFonts w:asciiTheme="majorBidi" w:hAnsiTheme="majorBidi" w:cstheme="majorBidi"/>
          <w:color w:val="202122"/>
          <w:sz w:val="24"/>
          <w:szCs w:val="24"/>
          <w:shd w:val="clear" w:color="auto" w:fill="FFFFFF"/>
        </w:rPr>
      </w:pPr>
      <w:r>
        <w:rPr>
          <w:rFonts w:asciiTheme="majorBidi" w:hAnsiTheme="majorBidi" w:cstheme="majorBidi"/>
          <w:color w:val="202122"/>
          <w:sz w:val="24"/>
          <w:szCs w:val="24"/>
          <w:shd w:val="clear" w:color="auto" w:fill="FFFFFF"/>
        </w:rPr>
        <w:t xml:space="preserve">* L’IDE n’est pas exprimée dans les Os </w:t>
      </w:r>
      <w:r w:rsidR="00112221">
        <w:rPr>
          <w:rFonts w:asciiTheme="majorBidi" w:hAnsiTheme="majorBidi" w:cstheme="majorBidi"/>
          <w:color w:val="202122"/>
          <w:sz w:val="24"/>
          <w:szCs w:val="24"/>
          <w:shd w:val="clear" w:color="auto" w:fill="FFFFFF"/>
        </w:rPr>
        <w:t xml:space="preserve">et pourtant </w:t>
      </w:r>
      <w:r>
        <w:rPr>
          <w:rFonts w:asciiTheme="majorBidi" w:hAnsiTheme="majorBidi" w:cstheme="majorBidi"/>
          <w:color w:val="202122"/>
          <w:sz w:val="24"/>
          <w:szCs w:val="24"/>
          <w:shd w:val="clear" w:color="auto" w:fill="FFFFFF"/>
        </w:rPr>
        <w:t xml:space="preserve">des anomalies </w:t>
      </w:r>
      <w:r w:rsidR="00112221">
        <w:rPr>
          <w:rFonts w:asciiTheme="majorBidi" w:hAnsiTheme="majorBidi" w:cstheme="majorBidi"/>
          <w:color w:val="202122"/>
          <w:sz w:val="24"/>
          <w:szCs w:val="24"/>
          <w:shd w:val="clear" w:color="auto" w:fill="FFFFFF"/>
        </w:rPr>
        <w:t>squelettiques ont été enregistré chez les souris knockouts de ce gène. Comment vous pouvez expliquer ces résultats</w:t>
      </w:r>
    </w:p>
    <w:sectPr w:rsidR="006E5CF2" w:rsidRPr="009132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CC0"/>
    <w:rsid w:val="0003361A"/>
    <w:rsid w:val="00112221"/>
    <w:rsid w:val="002C6BD7"/>
    <w:rsid w:val="00315DCE"/>
    <w:rsid w:val="004141BE"/>
    <w:rsid w:val="005F5E98"/>
    <w:rsid w:val="006E5CF2"/>
    <w:rsid w:val="00740CC0"/>
    <w:rsid w:val="008129C1"/>
    <w:rsid w:val="00855F31"/>
    <w:rsid w:val="009132C5"/>
    <w:rsid w:val="00943F7F"/>
    <w:rsid w:val="00A23E74"/>
    <w:rsid w:val="00B567D0"/>
    <w:rsid w:val="00C36C11"/>
    <w:rsid w:val="00D1434E"/>
    <w:rsid w:val="00D257F0"/>
    <w:rsid w:val="00E057F2"/>
    <w:rsid w:val="00E7031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33DFC"/>
  <w15:chartTrackingRefBased/>
  <w15:docId w15:val="{F5B7732A-383E-41CA-A678-15B0D8B37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40CC0"/>
    <w:rPr>
      <w:color w:val="0563C1" w:themeColor="hyperlink"/>
      <w:u w:val="single"/>
    </w:rPr>
  </w:style>
  <w:style w:type="character" w:styleId="Mentionnonrsolue">
    <w:name w:val="Unresolved Mention"/>
    <w:basedOn w:val="Policepardfaut"/>
    <w:uiPriority w:val="99"/>
    <w:semiHidden/>
    <w:unhideWhenUsed/>
    <w:rsid w:val="00740C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ousephenotype.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2</Pages>
  <Words>451</Words>
  <Characters>2486</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monpc</dc:creator>
  <cp:keywords/>
  <dc:description/>
  <cp:lastModifiedBy>monpc</cp:lastModifiedBy>
  <cp:revision>3</cp:revision>
  <dcterms:created xsi:type="dcterms:W3CDTF">2021-06-14T21:03:00Z</dcterms:created>
  <dcterms:modified xsi:type="dcterms:W3CDTF">2021-06-15T16:03:00Z</dcterms:modified>
</cp:coreProperties>
</file>