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FE" w:rsidRPr="00D7305E" w:rsidRDefault="007442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5E">
        <w:rPr>
          <w:rFonts w:ascii="Times New Roman" w:hAnsi="Times New Roman" w:cs="Times New Roman"/>
          <w:b/>
          <w:sz w:val="24"/>
          <w:szCs w:val="24"/>
          <w:u w:val="single"/>
        </w:rPr>
        <w:t xml:space="preserve">Exercice 01 : </w:t>
      </w:r>
    </w:p>
    <w:p w:rsidR="006A60CF" w:rsidRPr="00D7305E" w:rsidRDefault="006A60CF" w:rsidP="0040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5E">
        <w:rPr>
          <w:rFonts w:ascii="Times New Roman" w:hAnsi="Times New Roman" w:cs="Times New Roman"/>
          <w:sz w:val="24"/>
          <w:szCs w:val="24"/>
        </w:rPr>
        <w:t>Après injection intraveineuse d’une dose de 50 mg d’un médicament à un patient, les concentrations</w:t>
      </w:r>
      <w:r w:rsidR="00D7305E">
        <w:rPr>
          <w:rFonts w:ascii="Times New Roman" w:hAnsi="Times New Roman" w:cs="Times New Roman"/>
          <w:sz w:val="24"/>
          <w:szCs w:val="24"/>
        </w:rPr>
        <w:t xml:space="preserve"> </w:t>
      </w:r>
      <w:r w:rsidRPr="00D7305E">
        <w:rPr>
          <w:rFonts w:ascii="Times New Roman" w:hAnsi="Times New Roman" w:cs="Times New Roman"/>
          <w:sz w:val="24"/>
          <w:szCs w:val="24"/>
        </w:rPr>
        <w:t>plasmatiques suivantes ont été mesurées (en mg.L-1) en fonction du temps (en heures) :</w:t>
      </w:r>
      <w:r w:rsidR="00D7305E">
        <w:rPr>
          <w:rFonts w:ascii="Times New Roman" w:hAnsi="Times New Roman" w:cs="Times New Roman"/>
          <w:sz w:val="24"/>
          <w:szCs w:val="24"/>
        </w:rPr>
        <w:t xml:space="preserve"> </w:t>
      </w:r>
      <w:r w:rsidRPr="00D7305E">
        <w:rPr>
          <w:rFonts w:ascii="Times New Roman" w:hAnsi="Times New Roman" w:cs="Times New Roman"/>
          <w:sz w:val="24"/>
          <w:szCs w:val="24"/>
        </w:rPr>
        <w:t>Temps 0 : 3,45 Temps 1h : 2,55 Temps 2h : 1,65 Temps 4h :0,75 Temps 8h : 0,15</w:t>
      </w:r>
    </w:p>
    <w:p w:rsidR="006A60CF" w:rsidRPr="00D7305E" w:rsidRDefault="006A60CF" w:rsidP="0040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5E">
        <w:rPr>
          <w:rFonts w:ascii="Times New Roman" w:hAnsi="Times New Roman" w:cs="Times New Roman"/>
          <w:b/>
          <w:bCs/>
          <w:sz w:val="24"/>
          <w:szCs w:val="24"/>
        </w:rPr>
        <w:t xml:space="preserve">QUESTION N°1 : </w:t>
      </w:r>
      <w:r w:rsidRPr="00D7305E">
        <w:rPr>
          <w:rFonts w:ascii="Times New Roman" w:hAnsi="Times New Roman" w:cs="Times New Roman"/>
          <w:sz w:val="24"/>
          <w:szCs w:val="24"/>
        </w:rPr>
        <w:t>Tracer la courbe des concentrations en fonction du temps.</w:t>
      </w:r>
    </w:p>
    <w:p w:rsidR="006A60CF" w:rsidRPr="00D7305E" w:rsidRDefault="006A60CF" w:rsidP="0040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5E">
        <w:rPr>
          <w:rFonts w:ascii="Times New Roman" w:hAnsi="Times New Roman" w:cs="Times New Roman"/>
          <w:b/>
          <w:bCs/>
          <w:sz w:val="24"/>
          <w:szCs w:val="24"/>
        </w:rPr>
        <w:t xml:space="preserve">QUESTION N°2 : </w:t>
      </w:r>
      <w:r w:rsidRPr="00D7305E">
        <w:rPr>
          <w:rFonts w:ascii="Times New Roman" w:hAnsi="Times New Roman" w:cs="Times New Roman"/>
          <w:sz w:val="24"/>
          <w:szCs w:val="24"/>
        </w:rPr>
        <w:t>Calculer :</w:t>
      </w:r>
    </w:p>
    <w:p w:rsidR="006A60CF" w:rsidRPr="00D7305E" w:rsidRDefault="006A60CF" w:rsidP="0040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5E">
        <w:rPr>
          <w:rFonts w:ascii="Times New Roman" w:hAnsi="Times New Roman" w:cs="Times New Roman"/>
          <w:sz w:val="24"/>
          <w:szCs w:val="24"/>
        </w:rPr>
        <w:t>a) la demi-vie d’élimination</w:t>
      </w:r>
    </w:p>
    <w:p w:rsidR="006A60CF" w:rsidRPr="00D7305E" w:rsidRDefault="006A60CF" w:rsidP="0040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5E">
        <w:rPr>
          <w:rFonts w:ascii="Times New Roman" w:hAnsi="Times New Roman" w:cs="Times New Roman"/>
          <w:sz w:val="24"/>
          <w:szCs w:val="24"/>
        </w:rPr>
        <w:t>b) la clairance plasmatique totale</w:t>
      </w:r>
    </w:p>
    <w:p w:rsidR="007442F8" w:rsidRPr="00D7305E" w:rsidRDefault="006A60CF" w:rsidP="00401CF1">
      <w:pPr>
        <w:jc w:val="both"/>
        <w:rPr>
          <w:rFonts w:ascii="Times New Roman" w:hAnsi="Times New Roman" w:cs="Times New Roman"/>
          <w:sz w:val="24"/>
          <w:szCs w:val="24"/>
        </w:rPr>
      </w:pPr>
      <w:r w:rsidRPr="00D7305E">
        <w:rPr>
          <w:rFonts w:ascii="Times New Roman" w:hAnsi="Times New Roman" w:cs="Times New Roman"/>
          <w:sz w:val="24"/>
          <w:szCs w:val="24"/>
        </w:rPr>
        <w:t>c) le volume de distribution</w:t>
      </w:r>
    </w:p>
    <w:p w:rsidR="00BC1CAB" w:rsidRDefault="00BC1CAB" w:rsidP="006A60CF">
      <w:r>
        <w:rPr>
          <w:noProof/>
          <w:lang w:eastAsia="fr-FR"/>
        </w:rPr>
        <w:drawing>
          <wp:inline distT="0" distB="0" distL="0" distR="0" wp14:anchorId="47563F54" wp14:editId="1F0BD142">
            <wp:extent cx="5760720" cy="55276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A41" w:rsidRDefault="004C7A41" w:rsidP="006A60CF"/>
    <w:p w:rsidR="004C7A41" w:rsidRDefault="004C7A41" w:rsidP="006A60CF"/>
    <w:p w:rsidR="004C7A41" w:rsidRDefault="004C7A41" w:rsidP="006A60CF"/>
    <w:p w:rsidR="004C7A41" w:rsidRDefault="004C7A41" w:rsidP="006A60CF"/>
    <w:p w:rsidR="004C7A41" w:rsidRDefault="004C7A41" w:rsidP="006A60CF"/>
    <w:p w:rsidR="00675975" w:rsidRPr="001B5EC4" w:rsidRDefault="00EF4348" w:rsidP="006A60CF">
      <w:pPr>
        <w:rPr>
          <w:rFonts w:ascii="Times New Roman" w:hAnsi="Times New Roman" w:cs="Times New Roman"/>
          <w:sz w:val="24"/>
          <w:szCs w:val="24"/>
        </w:rPr>
      </w:pPr>
      <w:r w:rsidRPr="001B5EC4">
        <w:rPr>
          <w:rFonts w:ascii="Times New Roman" w:hAnsi="Times New Roman" w:cs="Times New Roman"/>
          <w:sz w:val="24"/>
          <w:szCs w:val="24"/>
        </w:rPr>
        <w:lastRenderedPageBreak/>
        <w:t xml:space="preserve">Exercice 02 : </w:t>
      </w:r>
    </w:p>
    <w:p w:rsidR="001B5EC4" w:rsidRDefault="00777FB4" w:rsidP="001533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B5EC4">
        <w:rPr>
          <w:rFonts w:ascii="Times New Roman" w:hAnsi="Times New Roman" w:cs="Times New Roman"/>
          <w:sz w:val="24"/>
          <w:szCs w:val="24"/>
        </w:rPr>
        <w:t xml:space="preserve">Après injection </w:t>
      </w:r>
      <w:proofErr w:type="spellStart"/>
      <w:r w:rsidRPr="001B5EC4">
        <w:rPr>
          <w:rFonts w:ascii="Times New Roman" w:hAnsi="Times New Roman" w:cs="Times New Roman"/>
          <w:sz w:val="24"/>
          <w:szCs w:val="24"/>
        </w:rPr>
        <w:t>intra-veineuse</w:t>
      </w:r>
      <w:proofErr w:type="spellEnd"/>
      <w:r w:rsidRPr="001B5EC4">
        <w:rPr>
          <w:rFonts w:ascii="Times New Roman" w:hAnsi="Times New Roman" w:cs="Times New Roman"/>
          <w:sz w:val="24"/>
          <w:szCs w:val="24"/>
        </w:rPr>
        <w:t xml:space="preserve"> de 100 mg d'un princi</w:t>
      </w:r>
      <w:r w:rsidR="001B5EC4">
        <w:rPr>
          <w:rFonts w:ascii="Times New Roman" w:hAnsi="Times New Roman" w:cs="Times New Roman"/>
          <w:sz w:val="24"/>
          <w:szCs w:val="24"/>
        </w:rPr>
        <w:t xml:space="preserve">pe actif ayant une distribution </w:t>
      </w:r>
      <w:proofErr w:type="spellStart"/>
      <w:r w:rsidRPr="001B5EC4">
        <w:rPr>
          <w:rFonts w:ascii="Times New Roman" w:hAnsi="Times New Roman" w:cs="Times New Roman"/>
          <w:sz w:val="24"/>
          <w:szCs w:val="24"/>
        </w:rPr>
        <w:t>monocompartimentale</w:t>
      </w:r>
      <w:proofErr w:type="spellEnd"/>
      <w:r w:rsidRPr="001B5EC4">
        <w:rPr>
          <w:rFonts w:ascii="Times New Roman" w:hAnsi="Times New Roman" w:cs="Times New Roman"/>
          <w:sz w:val="24"/>
          <w:szCs w:val="24"/>
        </w:rPr>
        <w:t>, on dispose des données suivantes</w:t>
      </w:r>
      <w:r w:rsidR="001B5EC4">
        <w:rPr>
          <w:rFonts w:ascii="Times New Roman" w:hAnsi="Times New Roman" w:cs="Times New Roman"/>
          <w:sz w:val="24"/>
          <w:szCs w:val="24"/>
        </w:rPr>
        <w:t xml:space="preserve"> </w:t>
      </w:r>
      <w:r w:rsidRPr="001B5EC4"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1B5EC4" w:rsidRDefault="001B5EC4" w:rsidP="00777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7FB4" w:rsidRPr="001B5EC4">
        <w:rPr>
          <w:rFonts w:ascii="Times New Roman" w:hAnsi="Times New Roman" w:cs="Times New Roman"/>
          <w:sz w:val="24"/>
          <w:szCs w:val="24"/>
        </w:rPr>
        <w:t>volume de distribution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FB4" w:rsidRPr="001B5EC4">
        <w:rPr>
          <w:rFonts w:ascii="Times New Roman" w:hAnsi="Times New Roman" w:cs="Times New Roman"/>
          <w:sz w:val="24"/>
          <w:szCs w:val="24"/>
        </w:rPr>
        <w:t>: 40 litres,</w:t>
      </w:r>
    </w:p>
    <w:p w:rsidR="00777FB4" w:rsidRPr="001B5EC4" w:rsidRDefault="001B5EC4" w:rsidP="00777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7FB4" w:rsidRPr="001B5EC4">
        <w:rPr>
          <w:rFonts w:ascii="Times New Roman" w:hAnsi="Times New Roman" w:cs="Times New Roman"/>
          <w:sz w:val="24"/>
          <w:szCs w:val="24"/>
        </w:rPr>
        <w:t>demi-vie d'élimination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FB4" w:rsidRPr="001B5EC4">
        <w:rPr>
          <w:rFonts w:ascii="Times New Roman" w:hAnsi="Times New Roman" w:cs="Times New Roman"/>
          <w:sz w:val="24"/>
          <w:szCs w:val="24"/>
        </w:rPr>
        <w:t>: 8 heures (mesure plasmatique),</w:t>
      </w:r>
    </w:p>
    <w:p w:rsidR="00777FB4" w:rsidRPr="001B5EC4" w:rsidRDefault="00777FB4" w:rsidP="00777FB4">
      <w:pPr>
        <w:rPr>
          <w:rFonts w:ascii="Times New Roman" w:hAnsi="Times New Roman" w:cs="Times New Roman"/>
          <w:sz w:val="24"/>
          <w:szCs w:val="24"/>
        </w:rPr>
      </w:pPr>
      <w:r w:rsidRPr="001B5EC4">
        <w:rPr>
          <w:rFonts w:ascii="Times New Roman" w:hAnsi="Times New Roman" w:cs="Times New Roman"/>
          <w:sz w:val="24"/>
          <w:szCs w:val="24"/>
        </w:rPr>
        <w:t>QUESTION</w:t>
      </w:r>
      <w:r w:rsidR="001B5EC4">
        <w:rPr>
          <w:rFonts w:ascii="Times New Roman" w:hAnsi="Times New Roman" w:cs="Times New Roman"/>
          <w:sz w:val="24"/>
          <w:szCs w:val="24"/>
        </w:rPr>
        <w:t> : Calculer</w:t>
      </w:r>
      <w:r w:rsidR="001B5EC4" w:rsidRPr="001B5EC4">
        <w:rPr>
          <w:rFonts w:ascii="Times New Roman" w:hAnsi="Times New Roman" w:cs="Times New Roman"/>
          <w:sz w:val="24"/>
          <w:szCs w:val="24"/>
        </w:rPr>
        <w:t> :</w:t>
      </w:r>
    </w:p>
    <w:p w:rsidR="00777FB4" w:rsidRPr="001B5EC4" w:rsidRDefault="00777FB4" w:rsidP="00777FB4">
      <w:pPr>
        <w:rPr>
          <w:rFonts w:ascii="Times New Roman" w:hAnsi="Times New Roman" w:cs="Times New Roman"/>
          <w:sz w:val="24"/>
          <w:szCs w:val="24"/>
        </w:rPr>
      </w:pPr>
      <w:r w:rsidRPr="001B5EC4">
        <w:rPr>
          <w:rFonts w:ascii="Times New Roman" w:hAnsi="Times New Roman" w:cs="Times New Roman"/>
          <w:sz w:val="24"/>
          <w:szCs w:val="24"/>
        </w:rPr>
        <w:t>a) la concentration plasmatique initiale théorique (Co)</w:t>
      </w:r>
    </w:p>
    <w:p w:rsidR="00777FB4" w:rsidRPr="001B5EC4" w:rsidRDefault="00777FB4" w:rsidP="00777FB4">
      <w:pPr>
        <w:rPr>
          <w:rFonts w:ascii="Times New Roman" w:hAnsi="Times New Roman" w:cs="Times New Roman"/>
          <w:sz w:val="24"/>
          <w:szCs w:val="24"/>
        </w:rPr>
      </w:pPr>
      <w:r w:rsidRPr="001B5EC4">
        <w:rPr>
          <w:rFonts w:ascii="Times New Roman" w:hAnsi="Times New Roman" w:cs="Times New Roman"/>
          <w:sz w:val="24"/>
          <w:szCs w:val="24"/>
        </w:rPr>
        <w:t xml:space="preserve">b) la constante d'élimination </w:t>
      </w:r>
      <w:proofErr w:type="spellStart"/>
      <w:r w:rsidRPr="001B5E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B5EC4">
        <w:rPr>
          <w:rFonts w:ascii="Times New Roman" w:hAnsi="Times New Roman" w:cs="Times New Roman"/>
          <w:sz w:val="24"/>
          <w:szCs w:val="24"/>
        </w:rPr>
        <w:t>,</w:t>
      </w:r>
    </w:p>
    <w:p w:rsidR="00777FB4" w:rsidRPr="001B5EC4" w:rsidRDefault="00777FB4" w:rsidP="00777FB4">
      <w:pPr>
        <w:rPr>
          <w:rFonts w:ascii="Times New Roman" w:hAnsi="Times New Roman" w:cs="Times New Roman"/>
          <w:sz w:val="24"/>
          <w:szCs w:val="24"/>
        </w:rPr>
      </w:pPr>
      <w:r w:rsidRPr="001B5EC4">
        <w:rPr>
          <w:rFonts w:ascii="Times New Roman" w:hAnsi="Times New Roman" w:cs="Times New Roman"/>
          <w:sz w:val="24"/>
          <w:szCs w:val="24"/>
        </w:rPr>
        <w:t>c) la cla</w:t>
      </w:r>
      <w:r w:rsidR="00977786">
        <w:rPr>
          <w:rFonts w:ascii="Times New Roman" w:hAnsi="Times New Roman" w:cs="Times New Roman"/>
          <w:sz w:val="24"/>
          <w:szCs w:val="24"/>
        </w:rPr>
        <w:t>irance totale du principe actif</w:t>
      </w:r>
    </w:p>
    <w:p w:rsidR="004C7A41" w:rsidRPr="00977786" w:rsidRDefault="00A7732C" w:rsidP="00A7732C">
      <w:pPr>
        <w:rPr>
          <w:rFonts w:ascii="Times New Roman" w:hAnsi="Times New Roman" w:cs="Times New Roman"/>
          <w:sz w:val="24"/>
          <w:szCs w:val="24"/>
        </w:rPr>
      </w:pPr>
      <w:r w:rsidRPr="00977786">
        <w:rPr>
          <w:rFonts w:ascii="Times New Roman" w:hAnsi="Times New Roman" w:cs="Times New Roman"/>
          <w:sz w:val="24"/>
          <w:szCs w:val="24"/>
        </w:rPr>
        <w:t>Exercice 3</w:t>
      </w:r>
    </w:p>
    <w:p w:rsidR="00A7732C" w:rsidRPr="00977786" w:rsidRDefault="00936E20" w:rsidP="002F75C0">
      <w:pPr>
        <w:jc w:val="both"/>
        <w:rPr>
          <w:rFonts w:ascii="Times New Roman" w:hAnsi="Times New Roman" w:cs="Times New Roman"/>
          <w:sz w:val="24"/>
          <w:szCs w:val="24"/>
        </w:rPr>
      </w:pPr>
      <w:r w:rsidRPr="00977786">
        <w:rPr>
          <w:rFonts w:ascii="Times New Roman" w:hAnsi="Times New Roman" w:cs="Times New Roman"/>
          <w:sz w:val="24"/>
          <w:szCs w:val="24"/>
        </w:rPr>
        <w:t xml:space="preserve">Après administration IV de morphine, 2 métabolites </w:t>
      </w:r>
      <w:proofErr w:type="spellStart"/>
      <w:r w:rsidRPr="00977786">
        <w:rPr>
          <w:rFonts w:ascii="Times New Roman" w:hAnsi="Times New Roman" w:cs="Times New Roman"/>
          <w:sz w:val="24"/>
          <w:szCs w:val="24"/>
        </w:rPr>
        <w:t>glucuro</w:t>
      </w:r>
      <w:r w:rsidR="00AA3DAF" w:rsidRPr="00977786">
        <w:rPr>
          <w:rFonts w:ascii="Times New Roman" w:hAnsi="Times New Roman" w:cs="Times New Roman"/>
          <w:sz w:val="24"/>
          <w:szCs w:val="24"/>
        </w:rPr>
        <w:t>noconjugués</w:t>
      </w:r>
      <w:proofErr w:type="spellEnd"/>
      <w:r w:rsidR="00AA3DAF" w:rsidRPr="00977786">
        <w:rPr>
          <w:rFonts w:ascii="Times New Roman" w:hAnsi="Times New Roman" w:cs="Times New Roman"/>
          <w:sz w:val="24"/>
          <w:szCs w:val="24"/>
        </w:rPr>
        <w:t xml:space="preserve"> sont principalement </w:t>
      </w:r>
      <w:r w:rsidRPr="00977786">
        <w:rPr>
          <w:rFonts w:ascii="Times New Roman" w:hAnsi="Times New Roman" w:cs="Times New Roman"/>
          <w:sz w:val="24"/>
          <w:szCs w:val="24"/>
        </w:rPr>
        <w:t xml:space="preserve">retrouvés dans le plasma : la M3G et la M6G. Les propriétés </w:t>
      </w:r>
      <w:r w:rsidR="00AA3DAF" w:rsidRPr="00977786">
        <w:rPr>
          <w:rFonts w:ascii="Times New Roman" w:hAnsi="Times New Roman" w:cs="Times New Roman"/>
          <w:sz w:val="24"/>
          <w:szCs w:val="24"/>
        </w:rPr>
        <w:t xml:space="preserve">de la morphine et de </w:t>
      </w:r>
      <w:r w:rsidRPr="00977786">
        <w:rPr>
          <w:rFonts w:ascii="Times New Roman" w:hAnsi="Times New Roman" w:cs="Times New Roman"/>
          <w:sz w:val="24"/>
          <w:szCs w:val="24"/>
        </w:rPr>
        <w:t xml:space="preserve">ses 2 métabolites ont été comparées lors d’études de liaison à l’équilibre aux récepteurs opioïdes μ, et lors de la détermination de leur activité </w:t>
      </w:r>
      <w:proofErr w:type="spellStart"/>
      <w:r w:rsidRPr="00977786">
        <w:rPr>
          <w:rFonts w:ascii="Times New Roman" w:hAnsi="Times New Roman" w:cs="Times New Roman"/>
          <w:sz w:val="24"/>
          <w:szCs w:val="24"/>
        </w:rPr>
        <w:t>antinociceptive</w:t>
      </w:r>
      <w:proofErr w:type="spellEnd"/>
      <w:r w:rsidRPr="00977786">
        <w:rPr>
          <w:rFonts w:ascii="Times New Roman" w:hAnsi="Times New Roman" w:cs="Times New Roman"/>
          <w:sz w:val="24"/>
          <w:szCs w:val="24"/>
        </w:rPr>
        <w:t xml:space="preserve"> </w:t>
      </w:r>
      <w:r w:rsidRPr="00977786">
        <w:rPr>
          <w:rFonts w:ascii="Times New Roman" w:hAnsi="Times New Roman" w:cs="Times New Roman"/>
          <w:i/>
          <w:sz w:val="24"/>
          <w:szCs w:val="24"/>
        </w:rPr>
        <w:t>in vivo</w:t>
      </w:r>
      <w:r w:rsidRPr="00977786">
        <w:rPr>
          <w:rFonts w:ascii="Times New Roman" w:hAnsi="Times New Roman" w:cs="Times New Roman"/>
          <w:sz w:val="24"/>
          <w:szCs w:val="24"/>
        </w:rPr>
        <w:t>.</w:t>
      </w:r>
    </w:p>
    <w:p w:rsidR="00A42BB1" w:rsidRPr="00977786" w:rsidRDefault="00A42BB1" w:rsidP="002F75C0">
      <w:pPr>
        <w:jc w:val="both"/>
        <w:rPr>
          <w:rFonts w:ascii="Times New Roman" w:hAnsi="Times New Roman" w:cs="Times New Roman"/>
          <w:sz w:val="24"/>
          <w:szCs w:val="24"/>
        </w:rPr>
      </w:pPr>
      <w:r w:rsidRPr="00977786">
        <w:rPr>
          <w:rFonts w:ascii="Times New Roman" w:hAnsi="Times New Roman" w:cs="Times New Roman"/>
          <w:sz w:val="24"/>
          <w:szCs w:val="24"/>
        </w:rPr>
        <w:t>I-ETUDES DE LIAISON A L’EQUILIBRE :</w:t>
      </w:r>
    </w:p>
    <w:p w:rsidR="00A42BB1" w:rsidRPr="00977786" w:rsidRDefault="00A42BB1" w:rsidP="002F75C0">
      <w:pPr>
        <w:jc w:val="both"/>
        <w:rPr>
          <w:rFonts w:ascii="Times New Roman" w:hAnsi="Times New Roman" w:cs="Times New Roman"/>
          <w:sz w:val="24"/>
          <w:szCs w:val="24"/>
        </w:rPr>
      </w:pPr>
      <w:r w:rsidRPr="00977786">
        <w:rPr>
          <w:rFonts w:ascii="Times New Roman" w:hAnsi="Times New Roman" w:cs="Times New Roman"/>
          <w:sz w:val="24"/>
          <w:szCs w:val="24"/>
        </w:rPr>
        <w:t xml:space="preserve">Des études d’inhibition de la </w:t>
      </w:r>
      <w:r w:rsidRPr="009777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77786">
        <w:rPr>
          <w:rFonts w:ascii="Times New Roman" w:hAnsi="Times New Roman" w:cs="Times New Roman"/>
          <w:sz w:val="24"/>
          <w:szCs w:val="24"/>
        </w:rPr>
        <w:t xml:space="preserve">H-naloxone à la concentration de 2 </w:t>
      </w:r>
      <w:proofErr w:type="spellStart"/>
      <w:r w:rsidRPr="00977786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977786">
        <w:rPr>
          <w:rFonts w:ascii="Times New Roman" w:hAnsi="Times New Roman" w:cs="Times New Roman"/>
          <w:sz w:val="24"/>
          <w:szCs w:val="24"/>
        </w:rPr>
        <w:t xml:space="preserve"> par des concentrations croissantes de morphine, de M3G et de M6G ont été réalisées sur une lignée cellulaire </w:t>
      </w:r>
      <w:proofErr w:type="spellStart"/>
      <w:r w:rsidRPr="00977786">
        <w:rPr>
          <w:rFonts w:ascii="Times New Roman" w:hAnsi="Times New Roman" w:cs="Times New Roman"/>
          <w:sz w:val="24"/>
          <w:szCs w:val="24"/>
        </w:rPr>
        <w:t>surexprimant</w:t>
      </w:r>
      <w:proofErr w:type="spellEnd"/>
      <w:r w:rsidRPr="00977786">
        <w:rPr>
          <w:rFonts w:ascii="Times New Roman" w:hAnsi="Times New Roman" w:cs="Times New Roman"/>
          <w:sz w:val="24"/>
          <w:szCs w:val="24"/>
        </w:rPr>
        <w:t xml:space="preserve"> le récepteur opioïde μ. Les courbes de compétition obtenues sont présentées sur la figure 1. La constante de dissociation de la </w:t>
      </w:r>
      <w:r w:rsidRPr="009777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77786">
        <w:rPr>
          <w:rFonts w:ascii="Times New Roman" w:hAnsi="Times New Roman" w:cs="Times New Roman"/>
          <w:sz w:val="24"/>
          <w:szCs w:val="24"/>
        </w:rPr>
        <w:t xml:space="preserve">H-naloxone (KD) vis-à-vis du récepteur opioïde μ est de 1 </w:t>
      </w:r>
      <w:proofErr w:type="spellStart"/>
      <w:r w:rsidRPr="00977786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977786">
        <w:rPr>
          <w:rFonts w:ascii="Times New Roman" w:hAnsi="Times New Roman" w:cs="Times New Roman"/>
          <w:sz w:val="24"/>
          <w:szCs w:val="24"/>
        </w:rPr>
        <w:t>.</w:t>
      </w:r>
    </w:p>
    <w:p w:rsidR="004F07C5" w:rsidRDefault="004F07C5" w:rsidP="002F75C0">
      <w:pPr>
        <w:jc w:val="both"/>
      </w:pPr>
      <w:r>
        <w:rPr>
          <w:noProof/>
          <w:lang w:eastAsia="fr-FR"/>
        </w:rPr>
        <w:drawing>
          <wp:inline distT="0" distB="0" distL="0" distR="0" wp14:anchorId="43982A82" wp14:editId="10E15427">
            <wp:extent cx="5760720" cy="332613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862" w:rsidRPr="00CA782B" w:rsidRDefault="00E35862" w:rsidP="00E35862">
      <w:pPr>
        <w:jc w:val="both"/>
        <w:rPr>
          <w:rFonts w:ascii="Times New Roman" w:hAnsi="Times New Roman" w:cs="Times New Roman"/>
          <w:sz w:val="24"/>
          <w:szCs w:val="24"/>
        </w:rPr>
      </w:pPr>
      <w:r w:rsidRPr="00CA782B">
        <w:rPr>
          <w:rFonts w:ascii="Times New Roman" w:hAnsi="Times New Roman" w:cs="Times New Roman"/>
          <w:b/>
          <w:sz w:val="24"/>
          <w:szCs w:val="24"/>
        </w:rPr>
        <w:t xml:space="preserve">QUESTION N°1 : </w:t>
      </w:r>
      <w:r w:rsidRPr="00CA782B">
        <w:rPr>
          <w:rFonts w:ascii="Times New Roman" w:hAnsi="Times New Roman" w:cs="Times New Roman"/>
          <w:sz w:val="24"/>
          <w:szCs w:val="24"/>
        </w:rPr>
        <w:t>Déterminer la CI50 et le KI de la morphine, de la M3G et de la M6G et commenter ces résultats.</w:t>
      </w:r>
    </w:p>
    <w:p w:rsidR="00E35862" w:rsidRPr="00CA782B" w:rsidRDefault="00E35862" w:rsidP="00E35862">
      <w:pPr>
        <w:jc w:val="both"/>
        <w:rPr>
          <w:rFonts w:ascii="Times New Roman" w:hAnsi="Times New Roman" w:cs="Times New Roman"/>
          <w:sz w:val="24"/>
          <w:szCs w:val="24"/>
        </w:rPr>
      </w:pPr>
      <w:r w:rsidRPr="00CA782B">
        <w:rPr>
          <w:rFonts w:ascii="Times New Roman" w:hAnsi="Times New Roman" w:cs="Times New Roman"/>
          <w:sz w:val="24"/>
          <w:szCs w:val="24"/>
        </w:rPr>
        <w:lastRenderedPageBreak/>
        <w:t>II- ACTIVITE ANTINOCICEPTIVE CHEZ LA SOURIS APRES ADMINISTRATION INTRACEREBRALE</w:t>
      </w:r>
    </w:p>
    <w:p w:rsidR="00E35862" w:rsidRPr="00CA782B" w:rsidRDefault="00E35862" w:rsidP="00E35862">
      <w:pPr>
        <w:jc w:val="both"/>
        <w:rPr>
          <w:rFonts w:ascii="Times New Roman" w:hAnsi="Times New Roman" w:cs="Times New Roman"/>
          <w:sz w:val="24"/>
          <w:szCs w:val="24"/>
        </w:rPr>
      </w:pPr>
      <w:r w:rsidRPr="00CA782B">
        <w:rPr>
          <w:rFonts w:ascii="Times New Roman" w:hAnsi="Times New Roman" w:cs="Times New Roman"/>
          <w:sz w:val="24"/>
          <w:szCs w:val="24"/>
        </w:rPr>
        <w:t xml:space="preserve">Le test de la plaque chauffante met en jeu une stimulation nociceptive d’origine thermique. La figure 2 présente l’activité </w:t>
      </w:r>
      <w:proofErr w:type="spellStart"/>
      <w:r w:rsidRPr="00CA782B">
        <w:rPr>
          <w:rFonts w:ascii="Times New Roman" w:hAnsi="Times New Roman" w:cs="Times New Roman"/>
          <w:sz w:val="24"/>
          <w:szCs w:val="24"/>
        </w:rPr>
        <w:t>antinociceptive</w:t>
      </w:r>
      <w:proofErr w:type="spellEnd"/>
      <w:r w:rsidRPr="00CA782B">
        <w:rPr>
          <w:rFonts w:ascii="Times New Roman" w:hAnsi="Times New Roman" w:cs="Times New Roman"/>
          <w:sz w:val="24"/>
          <w:szCs w:val="24"/>
        </w:rPr>
        <w:t xml:space="preserve"> de la morphine et de la M6G administrées par voie intracérébrale chez la souris, dans le test de la plaque chauffante. L’effet de doses croissantes de ces composés a été déterminé en l’absence et en présence d’une dose unique de </w:t>
      </w:r>
      <w:proofErr w:type="spellStart"/>
      <w:r w:rsidRPr="00CA782B">
        <w:rPr>
          <w:rFonts w:ascii="Times New Roman" w:hAnsi="Times New Roman" w:cs="Times New Roman"/>
          <w:sz w:val="24"/>
          <w:szCs w:val="24"/>
        </w:rPr>
        <w:t>naloxone</w:t>
      </w:r>
      <w:proofErr w:type="spellEnd"/>
      <w:r w:rsidRPr="00CA782B">
        <w:rPr>
          <w:rFonts w:ascii="Times New Roman" w:hAnsi="Times New Roman" w:cs="Times New Roman"/>
          <w:sz w:val="24"/>
          <w:szCs w:val="24"/>
        </w:rPr>
        <w:t xml:space="preserve">. Dans ce test, la M3G est dépourvue d’activité </w:t>
      </w:r>
      <w:proofErr w:type="spellStart"/>
      <w:r w:rsidRPr="00CA782B">
        <w:rPr>
          <w:rFonts w:ascii="Times New Roman" w:hAnsi="Times New Roman" w:cs="Times New Roman"/>
          <w:sz w:val="24"/>
          <w:szCs w:val="24"/>
        </w:rPr>
        <w:t>antinociceptive</w:t>
      </w:r>
      <w:proofErr w:type="spellEnd"/>
      <w:r w:rsidRPr="00CA782B">
        <w:rPr>
          <w:rFonts w:ascii="Times New Roman" w:hAnsi="Times New Roman" w:cs="Times New Roman"/>
          <w:sz w:val="24"/>
          <w:szCs w:val="24"/>
        </w:rPr>
        <w:t>.</w:t>
      </w:r>
    </w:p>
    <w:p w:rsidR="00E35862" w:rsidRPr="00E35862" w:rsidRDefault="00E35862" w:rsidP="00E35862">
      <w:pPr>
        <w:jc w:val="both"/>
      </w:pPr>
      <w:r>
        <w:rPr>
          <w:noProof/>
          <w:lang w:eastAsia="fr-FR"/>
        </w:rPr>
        <w:drawing>
          <wp:inline distT="0" distB="0" distL="0" distR="0" wp14:anchorId="228D082D" wp14:editId="1A263A0D">
            <wp:extent cx="5760720" cy="3268980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7C5" w:rsidRPr="00CA782B" w:rsidRDefault="00723221" w:rsidP="00723221">
      <w:pPr>
        <w:jc w:val="both"/>
        <w:rPr>
          <w:rFonts w:ascii="Times New Roman" w:hAnsi="Times New Roman" w:cs="Times New Roman"/>
          <w:sz w:val="24"/>
          <w:szCs w:val="24"/>
        </w:rPr>
      </w:pPr>
      <w:r w:rsidRPr="00CA782B">
        <w:rPr>
          <w:rFonts w:ascii="Times New Roman" w:hAnsi="Times New Roman" w:cs="Times New Roman"/>
          <w:b/>
          <w:sz w:val="24"/>
          <w:szCs w:val="24"/>
        </w:rPr>
        <w:t>QUESTION N°2 :</w:t>
      </w:r>
      <w:r w:rsidRPr="00CA782B">
        <w:rPr>
          <w:rFonts w:ascii="Times New Roman" w:hAnsi="Times New Roman" w:cs="Times New Roman"/>
          <w:sz w:val="24"/>
          <w:szCs w:val="24"/>
        </w:rPr>
        <w:t xml:space="preserve"> Déterminer les dose</w:t>
      </w:r>
      <w:r w:rsidR="00E35862" w:rsidRPr="00CA782B">
        <w:rPr>
          <w:rFonts w:ascii="Times New Roman" w:hAnsi="Times New Roman" w:cs="Times New Roman"/>
          <w:sz w:val="24"/>
          <w:szCs w:val="24"/>
        </w:rPr>
        <w:t>s efficaces</w:t>
      </w:r>
      <w:r w:rsidRPr="00CA782B">
        <w:rPr>
          <w:rFonts w:ascii="Times New Roman" w:hAnsi="Times New Roman" w:cs="Times New Roman"/>
          <w:sz w:val="24"/>
          <w:szCs w:val="24"/>
        </w:rPr>
        <w:t xml:space="preserve"> médianes (DE50) de la morphine et de la M6G en l’absence et en présence de </w:t>
      </w:r>
      <w:proofErr w:type="spellStart"/>
      <w:r w:rsidRPr="00CA782B">
        <w:rPr>
          <w:rFonts w:ascii="Times New Roman" w:hAnsi="Times New Roman" w:cs="Times New Roman"/>
          <w:sz w:val="24"/>
          <w:szCs w:val="24"/>
        </w:rPr>
        <w:t>naloxone</w:t>
      </w:r>
      <w:proofErr w:type="spellEnd"/>
      <w:r w:rsidRPr="00CA782B">
        <w:rPr>
          <w:rFonts w:ascii="Times New Roman" w:hAnsi="Times New Roman" w:cs="Times New Roman"/>
          <w:sz w:val="24"/>
          <w:szCs w:val="24"/>
        </w:rPr>
        <w:t>. Commenter ces résultats en tenant compte de la question 1.</w:t>
      </w:r>
    </w:p>
    <w:p w:rsidR="00E35862" w:rsidRPr="00CA782B" w:rsidRDefault="00E35862" w:rsidP="00E35862">
      <w:pPr>
        <w:jc w:val="both"/>
        <w:rPr>
          <w:rFonts w:ascii="Times New Roman" w:hAnsi="Times New Roman" w:cs="Times New Roman"/>
          <w:sz w:val="24"/>
          <w:szCs w:val="24"/>
        </w:rPr>
      </w:pPr>
      <w:r w:rsidRPr="00CA782B">
        <w:rPr>
          <w:rFonts w:ascii="Times New Roman" w:hAnsi="Times New Roman" w:cs="Times New Roman"/>
          <w:b/>
          <w:sz w:val="24"/>
          <w:szCs w:val="24"/>
        </w:rPr>
        <w:t>QUESTION N°3 :</w:t>
      </w:r>
      <w:r w:rsidRPr="00CA782B">
        <w:rPr>
          <w:rFonts w:ascii="Times New Roman" w:hAnsi="Times New Roman" w:cs="Times New Roman"/>
          <w:sz w:val="24"/>
          <w:szCs w:val="24"/>
        </w:rPr>
        <w:t xml:space="preserve"> De quel type d’antagonisme la </w:t>
      </w:r>
      <w:proofErr w:type="spellStart"/>
      <w:r w:rsidRPr="00CA782B">
        <w:rPr>
          <w:rFonts w:ascii="Times New Roman" w:hAnsi="Times New Roman" w:cs="Times New Roman"/>
          <w:sz w:val="24"/>
          <w:szCs w:val="24"/>
        </w:rPr>
        <w:t>naloxone</w:t>
      </w:r>
      <w:proofErr w:type="spellEnd"/>
      <w:r w:rsidRPr="00CA782B">
        <w:rPr>
          <w:rFonts w:ascii="Times New Roman" w:hAnsi="Times New Roman" w:cs="Times New Roman"/>
          <w:sz w:val="24"/>
          <w:szCs w:val="24"/>
        </w:rPr>
        <w:t xml:space="preserve"> est-elle responsable vis à vis des effets de la morphine et de la M6G. Justifier votre réponse au vu de la figure 2.</w:t>
      </w:r>
    </w:p>
    <w:p w:rsidR="00E35862" w:rsidRPr="00CA782B" w:rsidRDefault="00E35862" w:rsidP="00E35862">
      <w:pPr>
        <w:jc w:val="both"/>
        <w:rPr>
          <w:rFonts w:ascii="Times New Roman" w:hAnsi="Times New Roman" w:cs="Times New Roman"/>
          <w:sz w:val="24"/>
          <w:szCs w:val="24"/>
        </w:rPr>
      </w:pPr>
      <w:r w:rsidRPr="00CA782B">
        <w:rPr>
          <w:rFonts w:ascii="Times New Roman" w:hAnsi="Times New Roman" w:cs="Times New Roman"/>
          <w:sz w:val="24"/>
          <w:szCs w:val="24"/>
        </w:rPr>
        <w:t>III - ACTIVITE ANTINOCICEPTIVE CHEZ LA SOURIS APRES ADMINISTRATION SOUS CUTANEE</w:t>
      </w:r>
    </w:p>
    <w:p w:rsidR="00E35862" w:rsidRPr="00CA782B" w:rsidRDefault="00E35862" w:rsidP="00E35862">
      <w:pPr>
        <w:jc w:val="both"/>
        <w:rPr>
          <w:rFonts w:ascii="Times New Roman" w:hAnsi="Times New Roman" w:cs="Times New Roman"/>
          <w:sz w:val="24"/>
          <w:szCs w:val="24"/>
        </w:rPr>
      </w:pPr>
      <w:r w:rsidRPr="00CA782B">
        <w:rPr>
          <w:rFonts w:ascii="Times New Roman" w:hAnsi="Times New Roman" w:cs="Times New Roman"/>
          <w:sz w:val="24"/>
          <w:szCs w:val="24"/>
        </w:rPr>
        <w:t xml:space="preserve">Les cinétiques des activités </w:t>
      </w:r>
      <w:proofErr w:type="spellStart"/>
      <w:r w:rsidRPr="00CA782B">
        <w:rPr>
          <w:rFonts w:ascii="Times New Roman" w:hAnsi="Times New Roman" w:cs="Times New Roman"/>
          <w:sz w:val="24"/>
          <w:szCs w:val="24"/>
        </w:rPr>
        <w:t>antinociceptives</w:t>
      </w:r>
      <w:proofErr w:type="spellEnd"/>
      <w:r w:rsidRPr="00CA782B">
        <w:rPr>
          <w:rFonts w:ascii="Times New Roman" w:hAnsi="Times New Roman" w:cs="Times New Roman"/>
          <w:sz w:val="24"/>
          <w:szCs w:val="24"/>
        </w:rPr>
        <w:t xml:space="preserve"> de la morphine, de la M3G, et de la M6G ont été évaluées chez la souris, après administration sous-cutanée d’une dose de 1 mg/kg de chacun de ces composés, dans le test de la plaque chauffante. Les résultats sont présentés sur la figure 3.</w:t>
      </w:r>
    </w:p>
    <w:p w:rsidR="00E35862" w:rsidRDefault="00390FB7" w:rsidP="00723221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735ACC08" wp14:editId="067BDA67">
            <wp:extent cx="5760720" cy="35267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FB7" w:rsidRPr="00CA782B" w:rsidRDefault="00390FB7" w:rsidP="00390FB7">
      <w:pPr>
        <w:jc w:val="both"/>
        <w:rPr>
          <w:rFonts w:ascii="Times New Roman" w:hAnsi="Times New Roman" w:cs="Times New Roman"/>
          <w:sz w:val="24"/>
          <w:szCs w:val="24"/>
        </w:rPr>
      </w:pPr>
      <w:r w:rsidRPr="00CA782B">
        <w:rPr>
          <w:rFonts w:ascii="Times New Roman" w:hAnsi="Times New Roman" w:cs="Times New Roman"/>
          <w:b/>
          <w:sz w:val="24"/>
          <w:szCs w:val="24"/>
        </w:rPr>
        <w:t>QUESTION N°4</w:t>
      </w:r>
      <w:r w:rsidRPr="00CA782B">
        <w:rPr>
          <w:rFonts w:ascii="Times New Roman" w:hAnsi="Times New Roman" w:cs="Times New Roman"/>
          <w:sz w:val="24"/>
          <w:szCs w:val="24"/>
        </w:rPr>
        <w:t xml:space="preserve"> : Expliquer les différences de cinétique d’effet de la morphine, de la M3G et de la M6G.</w:t>
      </w:r>
    </w:p>
    <w:p w:rsidR="00E35862" w:rsidRPr="00E35862" w:rsidRDefault="00E35862" w:rsidP="00E35862"/>
    <w:p w:rsidR="00E35862" w:rsidRPr="00E35862" w:rsidRDefault="00E35862" w:rsidP="00E35862"/>
    <w:p w:rsidR="00E35862" w:rsidRPr="00E35862" w:rsidRDefault="00E35862" w:rsidP="00E35862"/>
    <w:p w:rsidR="00E35862" w:rsidRDefault="00E35862" w:rsidP="00E35862"/>
    <w:p w:rsidR="00E35862" w:rsidRPr="00E35862" w:rsidRDefault="00E35862" w:rsidP="00E35862">
      <w:pPr>
        <w:tabs>
          <w:tab w:val="left" w:pos="5565"/>
        </w:tabs>
      </w:pPr>
      <w:r>
        <w:tab/>
      </w:r>
    </w:p>
    <w:sectPr w:rsidR="00E35862" w:rsidRPr="00E35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31"/>
    <w:rsid w:val="00153308"/>
    <w:rsid w:val="001B5EC4"/>
    <w:rsid w:val="002F75C0"/>
    <w:rsid w:val="00380831"/>
    <w:rsid w:val="00390FB7"/>
    <w:rsid w:val="00401CF1"/>
    <w:rsid w:val="004C7A41"/>
    <w:rsid w:val="004F07C5"/>
    <w:rsid w:val="00657A60"/>
    <w:rsid w:val="00675975"/>
    <w:rsid w:val="006A60CF"/>
    <w:rsid w:val="00723221"/>
    <w:rsid w:val="007442F8"/>
    <w:rsid w:val="00777FB4"/>
    <w:rsid w:val="00936E20"/>
    <w:rsid w:val="00977786"/>
    <w:rsid w:val="00A42BB1"/>
    <w:rsid w:val="00A7732C"/>
    <w:rsid w:val="00AA3DAF"/>
    <w:rsid w:val="00BC1CAB"/>
    <w:rsid w:val="00C92B2F"/>
    <w:rsid w:val="00CA782B"/>
    <w:rsid w:val="00D24C34"/>
    <w:rsid w:val="00D7305E"/>
    <w:rsid w:val="00E35862"/>
    <w:rsid w:val="00EF4348"/>
    <w:rsid w:val="00F4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A8535A-990E-4340-AA65-82CD8376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2022-04-07T23:52:00Z</dcterms:created>
  <dcterms:modified xsi:type="dcterms:W3CDTF">2022-04-11T22:35:00Z</dcterms:modified>
</cp:coreProperties>
</file>