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DDC" w:rsidRDefault="00713DDC" w:rsidP="00713DDC">
      <w:pPr>
        <w:bidi/>
        <w:jc w:val="center"/>
        <w:rPr>
          <w:rFonts w:ascii="Simplified Arabic" w:hAnsi="Simplified Arabic" w:cs="Traditional Arabic"/>
          <w:bCs/>
          <w:sz w:val="32"/>
          <w:szCs w:val="32"/>
          <w:rtl/>
          <w:lang w:bidi="ar-DZ"/>
        </w:rPr>
      </w:pPr>
      <w:r>
        <w:rPr>
          <w:rFonts w:ascii="Simplified Arabic" w:hAnsi="Simplified Arabic" w:cs="Traditional Arabic" w:hint="cs"/>
          <w:bCs/>
          <w:sz w:val="32"/>
          <w:szCs w:val="32"/>
          <w:rtl/>
          <w:lang w:bidi="ar-DZ"/>
        </w:rPr>
        <w:t xml:space="preserve">        "قانون الـطاقة والـطاقة المتجـددة"</w:t>
      </w:r>
    </w:p>
    <w:p w:rsidR="00713DDC" w:rsidRPr="00157275" w:rsidRDefault="00713DDC" w:rsidP="00713DDC">
      <w:pPr>
        <w:bidi/>
        <w:jc w:val="center"/>
        <w:rPr>
          <w:rFonts w:ascii="Simplified Arabic" w:hAnsi="Simplified Arabic" w:cs="Traditional Arabic"/>
          <w:bCs/>
          <w:sz w:val="32"/>
          <w:szCs w:val="32"/>
          <w:rtl/>
          <w:lang w:bidi="ar-DZ"/>
        </w:rPr>
      </w:pPr>
      <w:r>
        <w:rPr>
          <w:rFonts w:ascii="Simplified Arabic" w:hAnsi="Simplified Arabic" w:cs="Traditional Arabic" w:hint="cs"/>
          <w:bCs/>
          <w:sz w:val="32"/>
          <w:szCs w:val="32"/>
          <w:rtl/>
          <w:lang w:bidi="ar-DZ"/>
        </w:rPr>
        <w:t xml:space="preserve">        أ. </w:t>
      </w:r>
      <w:r w:rsidRPr="00157275">
        <w:rPr>
          <w:rFonts w:ascii="Simplified Arabic" w:hAnsi="Simplified Arabic" w:cs="Traditional Arabic" w:hint="cs"/>
          <w:bCs/>
          <w:sz w:val="32"/>
          <w:szCs w:val="32"/>
          <w:rtl/>
          <w:lang w:bidi="ar-DZ"/>
        </w:rPr>
        <w:t>بوالخضرة نورة. جامعة جيجل</w:t>
      </w:r>
    </w:p>
    <w:p w:rsidR="00713DDC" w:rsidRPr="001B2098" w:rsidRDefault="001B2098" w:rsidP="00034BB9">
      <w:pPr>
        <w:bidi/>
        <w:spacing w:before="120" w:after="120"/>
        <w:jc w:val="center"/>
        <w:rPr>
          <w:rFonts w:ascii="Times New Roman" w:eastAsia="Calibri" w:hAnsi="Times New Roman" w:cs="Traditional Arabic"/>
          <w:bCs/>
          <w:sz w:val="32"/>
          <w:szCs w:val="32"/>
          <w:u w:val="single"/>
          <w:rtl/>
          <w:lang w:val="fr-FR" w:bidi="ar-DZ"/>
        </w:rPr>
      </w:pPr>
      <w:r w:rsidRPr="001B2098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>"</w:t>
      </w:r>
      <w:r w:rsidR="00713DDC" w:rsidRPr="001B2098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 xml:space="preserve">قراءات </w:t>
      </w:r>
      <w:r w:rsidRPr="001B2098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 xml:space="preserve">في </w:t>
      </w:r>
      <w:r w:rsidR="00034BB9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 xml:space="preserve">الفصل الأول: </w:t>
      </w:r>
      <w:r w:rsidRPr="001B2098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>قانون المحروقات رقم 19- "13.</w:t>
      </w:r>
    </w:p>
    <w:p w:rsidR="00034BB9" w:rsidRDefault="00713DDC" w:rsidP="001B2098">
      <w:pPr>
        <w:bidi/>
        <w:spacing w:before="120" w:after="120"/>
        <w:jc w:val="both"/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</w:pPr>
      <w:r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  <w:t xml:space="preserve">1- </w:t>
      </w:r>
      <w:r w:rsidR="00CB0D3D"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  <w:t>محمد الأمين بن عزة، تطور العقود النفطية في الجزائر ونشأة سلطة الضبط في قطاع المحروقات دراسة من مرحلة الإكتشاف إلى غاية مرحلة الإصلاحات، مجلة الباحث للدراسات الأكاديمية، المجلد 08- العدد 03ـ السنة 2021، ص ص 727- 746.</w:t>
      </w:r>
    </w:p>
    <w:p w:rsidR="00034BB9" w:rsidRDefault="00034BB9" w:rsidP="00034BB9">
      <w:pPr>
        <w:bidi/>
        <w:spacing w:before="120" w:after="120"/>
        <w:jc w:val="right"/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</w:pPr>
      <w:hyperlink r:id="rId8" w:history="1">
        <w:r w:rsidRPr="00CB5FCD">
          <w:rPr>
            <w:rStyle w:val="Hyperlink"/>
            <w:rFonts w:ascii="Times New Roman" w:eastAsia="Calibri" w:hAnsi="Times New Roman" w:cs="Traditional Arabic"/>
            <w:b/>
            <w:sz w:val="32"/>
            <w:szCs w:val="32"/>
            <w:lang w:val="fr-FR" w:bidi="ar-DZ"/>
          </w:rPr>
          <w:t>https://www.asjp.cerist.dz/en/downArticle/86/8/3/161926</w:t>
        </w:r>
      </w:hyperlink>
    </w:p>
    <w:p w:rsidR="00034BB9" w:rsidRDefault="00034BB9" w:rsidP="00034BB9">
      <w:pPr>
        <w:bidi/>
        <w:spacing w:before="120" w:after="120"/>
        <w:jc w:val="right"/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</w:pPr>
    </w:p>
    <w:p w:rsidR="00713DDC" w:rsidRDefault="00CB0D3D" w:rsidP="00034BB9">
      <w:pPr>
        <w:bidi/>
        <w:spacing w:before="120" w:after="120"/>
        <w:jc w:val="both"/>
        <w:rPr>
          <w:rFonts w:ascii="Times New Roman" w:eastAsia="Calibri" w:hAnsi="Times New Roman" w:cs="Traditional Arabic"/>
          <w:b/>
          <w:sz w:val="32"/>
          <w:szCs w:val="32"/>
          <w:rtl/>
          <w:lang w:val="fr-FR" w:bidi="ar-DZ"/>
        </w:rPr>
      </w:pPr>
      <w:r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  <w:t xml:space="preserve">2- </w:t>
      </w:r>
      <w:r w:rsidR="00713DDC"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  <w:t xml:space="preserve">منال مليزي، مخلفي أمينة، </w:t>
      </w:r>
      <w:r w:rsidR="00713DDC" w:rsidRPr="00713DDC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 xml:space="preserve">" أثر تطور الإطار القانوني للمحروقات على الشراكة الأجنبية في الجزائر: دراسة تحليلية خلال </w:t>
      </w:r>
      <w:r w:rsidR="001B2098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>ف</w:t>
      </w:r>
      <w:r w:rsidR="00713DDC" w:rsidRPr="00713DDC">
        <w:rPr>
          <w:rFonts w:ascii="Times New Roman" w:eastAsia="Calibri" w:hAnsi="Times New Roman" w:cs="Traditional Arabic" w:hint="cs"/>
          <w:bCs/>
          <w:sz w:val="32"/>
          <w:szCs w:val="32"/>
          <w:u w:val="single"/>
          <w:rtl/>
          <w:lang w:val="fr-FR" w:bidi="ar-DZ"/>
        </w:rPr>
        <w:t>ترة (1986- 2017)".</w:t>
      </w:r>
      <w:r w:rsidR="00713DDC"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  <w:t xml:space="preserve"> </w:t>
      </w:r>
    </w:p>
    <w:p w:rsidR="00713DDC" w:rsidRDefault="00E37808" w:rsidP="00713DDC">
      <w:pPr>
        <w:spacing w:before="120" w:after="120"/>
        <w:jc w:val="both"/>
        <w:rPr>
          <w:rFonts w:ascii="Times New Roman" w:hAnsi="Times New Roman" w:cs="Traditional Arabic"/>
          <w:sz w:val="32"/>
          <w:szCs w:val="32"/>
          <w:rtl/>
          <w:lang w:bidi="ar-DZ"/>
        </w:rPr>
      </w:pPr>
      <w:hyperlink r:id="rId9" w:history="1">
        <w:r w:rsidR="00713DDC" w:rsidRPr="00E40A25">
          <w:rPr>
            <w:rStyle w:val="Hyperlink"/>
            <w:rFonts w:ascii="Times New Roman" w:hAnsi="Times New Roman" w:cs="Traditional Arabic"/>
            <w:sz w:val="32"/>
            <w:szCs w:val="32"/>
            <w:lang w:bidi="ar-DZ"/>
          </w:rPr>
          <w:t>https://www.refaad.com/Files/GJEB/GJEB-7-2-3.pdf</w:t>
        </w:r>
      </w:hyperlink>
    </w:p>
    <w:p w:rsidR="00713DDC" w:rsidRDefault="00CB0D3D" w:rsidP="001C0796">
      <w:pPr>
        <w:bidi/>
        <w:spacing w:before="120" w:after="120"/>
        <w:jc w:val="both"/>
        <w:rPr>
          <w:rFonts w:ascii="Times New Roman" w:hAnsi="Times New Roman" w:cs="Traditional Arabic"/>
          <w:b/>
          <w:bCs/>
          <w:sz w:val="32"/>
          <w:szCs w:val="32"/>
          <w:u w:val="single"/>
          <w:rtl/>
          <w:lang w:bidi="ar-DZ"/>
        </w:rPr>
      </w:pPr>
      <w:r>
        <w:rPr>
          <w:rFonts w:ascii="Times New Roman" w:hAnsi="Times New Roman" w:cs="Traditional Arabic" w:hint="cs"/>
          <w:sz w:val="32"/>
          <w:szCs w:val="32"/>
          <w:rtl/>
          <w:lang w:bidi="ar-DZ"/>
        </w:rPr>
        <w:t>3</w:t>
      </w:r>
      <w:r w:rsidR="00713DDC">
        <w:rPr>
          <w:rFonts w:ascii="Times New Roman" w:hAnsi="Times New Roman" w:cs="Traditional Arabic" w:hint="cs"/>
          <w:sz w:val="32"/>
          <w:szCs w:val="32"/>
          <w:rtl/>
          <w:lang w:bidi="ar-DZ"/>
        </w:rPr>
        <w:t xml:space="preserve">- تومي فاروق، </w:t>
      </w:r>
      <w:r w:rsidR="00713DDC" w:rsidRPr="001C0796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 xml:space="preserve">"الطبيعة القانونية لعقود </w:t>
      </w:r>
      <w:r w:rsidR="001C0796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إ</w:t>
      </w:r>
      <w:r w:rsidR="00713DDC" w:rsidRPr="001C0796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ستكشاف وإستغلال المحروقات: قراءة تحليلية على ضوء قانون المحروقات رقم 19- 13</w:t>
      </w:r>
      <w:r w:rsidR="001C0796" w:rsidRPr="001C0796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"</w:t>
      </w:r>
      <w:r w:rsidR="00713DDC" w:rsidRPr="001C0796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.</w:t>
      </w:r>
    </w:p>
    <w:p w:rsidR="001C0796" w:rsidRDefault="00E37808" w:rsidP="001C0796">
      <w:pPr>
        <w:spacing w:before="120" w:after="120"/>
        <w:jc w:val="both"/>
        <w:rPr>
          <w:rFonts w:ascii="Times New Roman" w:hAnsi="Times New Roman" w:cs="Traditional Arabic"/>
          <w:sz w:val="32"/>
          <w:szCs w:val="32"/>
          <w:rtl/>
          <w:lang w:bidi="ar-DZ"/>
        </w:rPr>
      </w:pPr>
      <w:hyperlink r:id="rId10" w:history="1">
        <w:r w:rsidR="001C0796" w:rsidRPr="00E40A25">
          <w:rPr>
            <w:rStyle w:val="Hyperlink"/>
            <w:rFonts w:ascii="Times New Roman" w:hAnsi="Times New Roman" w:cs="Traditional Arabic"/>
            <w:sz w:val="32"/>
            <w:szCs w:val="32"/>
            <w:lang w:bidi="ar-DZ"/>
          </w:rPr>
          <w:t>https://www.asjp.cerist.dz/en/downArticle/435/6/1/153347</w:t>
        </w:r>
      </w:hyperlink>
    </w:p>
    <w:p w:rsidR="001B2098" w:rsidRDefault="00CB0D3D" w:rsidP="001C0796">
      <w:pPr>
        <w:bidi/>
        <w:spacing w:before="120" w:after="120"/>
        <w:jc w:val="both"/>
        <w:rPr>
          <w:rFonts w:ascii="Times New Roman" w:hAnsi="Times New Roman" w:cs="Traditional Arabic"/>
          <w:b/>
          <w:bCs/>
          <w:sz w:val="32"/>
          <w:szCs w:val="32"/>
          <w:u w:val="single"/>
          <w:rtl/>
          <w:lang w:bidi="ar-DZ"/>
        </w:rPr>
      </w:pPr>
      <w:r>
        <w:rPr>
          <w:rFonts w:ascii="Times New Roman" w:hAnsi="Times New Roman" w:cs="Traditional Arabic" w:hint="cs"/>
          <w:sz w:val="32"/>
          <w:szCs w:val="32"/>
          <w:rtl/>
          <w:lang w:bidi="ar-DZ"/>
        </w:rPr>
        <w:t>4</w:t>
      </w:r>
      <w:r w:rsidR="001C0796">
        <w:rPr>
          <w:rFonts w:ascii="Times New Roman" w:hAnsi="Times New Roman" w:cs="Traditional Arabic" w:hint="cs"/>
          <w:sz w:val="32"/>
          <w:szCs w:val="32"/>
          <w:rtl/>
          <w:lang w:bidi="ar-DZ"/>
        </w:rPr>
        <w:t xml:space="preserve">- </w:t>
      </w:r>
      <w:r w:rsidR="001B2098">
        <w:rPr>
          <w:rFonts w:ascii="Times New Roman" w:hAnsi="Times New Roman" w:cs="Traditional Arabic" w:hint="cs"/>
          <w:sz w:val="32"/>
          <w:szCs w:val="32"/>
          <w:rtl/>
          <w:lang w:bidi="ar-DZ"/>
        </w:rPr>
        <w:t xml:space="preserve">سويدي ناصر، بوراس محمد، </w:t>
      </w:r>
      <w:r w:rsidR="001B2098" w:rsidRPr="001B2098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" الإستثمار في قطاع المحروقات في ظل</w:t>
      </w:r>
      <w:r w:rsidR="001B2098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ّ</w:t>
      </w:r>
      <w:r w:rsidR="001B2098" w:rsidRPr="001B2098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 xml:space="preserve"> أحكام قانون رقم 19- 13".</w:t>
      </w:r>
    </w:p>
    <w:p w:rsidR="001B2098" w:rsidRDefault="00E37808" w:rsidP="001B2098">
      <w:pPr>
        <w:spacing w:before="120" w:after="120"/>
        <w:jc w:val="both"/>
        <w:rPr>
          <w:rFonts w:ascii="Times New Roman" w:hAnsi="Times New Roman" w:cs="Traditional Arabic"/>
          <w:sz w:val="32"/>
          <w:szCs w:val="32"/>
          <w:rtl/>
          <w:lang w:bidi="ar-DZ"/>
        </w:rPr>
      </w:pPr>
      <w:hyperlink r:id="rId11" w:history="1">
        <w:r w:rsidR="001B2098" w:rsidRPr="00E40A25">
          <w:rPr>
            <w:rStyle w:val="Hyperlink"/>
            <w:rFonts w:ascii="Times New Roman" w:hAnsi="Times New Roman" w:cs="Traditional Arabic"/>
            <w:sz w:val="32"/>
            <w:szCs w:val="32"/>
            <w:lang w:bidi="ar-DZ"/>
          </w:rPr>
          <w:t>https://www.asjp.cerist.dz/en/downArticle/526/6/1/155052</w:t>
        </w:r>
      </w:hyperlink>
    </w:p>
    <w:p w:rsidR="001C0796" w:rsidRDefault="00CB0D3D" w:rsidP="001B2098">
      <w:pPr>
        <w:bidi/>
        <w:spacing w:before="120" w:after="120"/>
        <w:jc w:val="both"/>
        <w:rPr>
          <w:rFonts w:ascii="Times New Roman" w:hAnsi="Times New Roman" w:cs="Traditional Arabic"/>
          <w:sz w:val="32"/>
          <w:szCs w:val="32"/>
          <w:rtl/>
          <w:lang w:bidi="ar-DZ"/>
        </w:rPr>
      </w:pPr>
      <w:r>
        <w:rPr>
          <w:rFonts w:ascii="Times New Roman" w:hAnsi="Times New Roman" w:cs="Traditional Arabic" w:hint="cs"/>
          <w:sz w:val="32"/>
          <w:szCs w:val="32"/>
          <w:rtl/>
          <w:lang w:bidi="ar-DZ"/>
        </w:rPr>
        <w:t>5</w:t>
      </w:r>
      <w:r w:rsidR="001B2098">
        <w:rPr>
          <w:rFonts w:ascii="Times New Roman" w:hAnsi="Times New Roman" w:cs="Traditional Arabic" w:hint="cs"/>
          <w:sz w:val="32"/>
          <w:szCs w:val="32"/>
          <w:rtl/>
          <w:lang w:bidi="ar-DZ"/>
        </w:rPr>
        <w:t>- بوالخضرة نورة، "</w:t>
      </w:r>
      <w:r w:rsidR="001B2098" w:rsidRPr="001B2098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نقل المحروقات بواسطة الأنابيب في التشريع الجزائري بين القيود القانونية ومقتضيات التجارة الدولية</w:t>
      </w:r>
      <w:r w:rsidR="001B2098">
        <w:rPr>
          <w:rFonts w:ascii="Times New Roman" w:hAnsi="Times New Roman" w:cs="Traditional Arabic" w:hint="cs"/>
          <w:b/>
          <w:bCs/>
          <w:sz w:val="32"/>
          <w:szCs w:val="32"/>
          <w:u w:val="single"/>
          <w:rtl/>
          <w:lang w:bidi="ar-DZ"/>
        </w:rPr>
        <w:t>"</w:t>
      </w:r>
      <w:r w:rsidR="001B2098">
        <w:rPr>
          <w:rFonts w:ascii="Times New Roman" w:hAnsi="Times New Roman" w:cs="Traditional Arabic" w:hint="cs"/>
          <w:sz w:val="32"/>
          <w:szCs w:val="32"/>
          <w:rtl/>
          <w:lang w:bidi="ar-DZ"/>
        </w:rPr>
        <w:t>، التجارة الدولية بين الحاضر والمستقبل (واقع أعمال المؤتمر الدولي الإفتراضي أيام 19 و 20 جوان 2021- الجزء الأول).</w:t>
      </w:r>
    </w:p>
    <w:p w:rsidR="001B2098" w:rsidRDefault="00E37808" w:rsidP="001B2098">
      <w:pPr>
        <w:spacing w:before="120" w:after="120"/>
        <w:jc w:val="both"/>
        <w:rPr>
          <w:rFonts w:ascii="Times New Roman" w:hAnsi="Times New Roman" w:cs="Traditional Arabic"/>
          <w:sz w:val="32"/>
          <w:szCs w:val="32"/>
          <w:rtl/>
          <w:lang w:bidi="ar-DZ"/>
        </w:rPr>
      </w:pPr>
      <w:hyperlink r:id="rId12" w:history="1">
        <w:r w:rsidR="001B2098" w:rsidRPr="00E40A25">
          <w:rPr>
            <w:rStyle w:val="Hyperlink"/>
            <w:rFonts w:ascii="Times New Roman" w:hAnsi="Times New Roman" w:cs="Traditional Arabic"/>
            <w:sz w:val="32"/>
            <w:szCs w:val="32"/>
            <w:lang w:bidi="ar-DZ"/>
          </w:rPr>
          <w:t>https://democraticac.de/?p=76098</w:t>
        </w:r>
      </w:hyperlink>
    </w:p>
    <w:p w:rsidR="00713DDC" w:rsidRDefault="00713DDC" w:rsidP="00CB0D3D">
      <w:pPr>
        <w:bidi/>
        <w:spacing w:before="120" w:after="120"/>
        <w:jc w:val="both"/>
        <w:rPr>
          <w:lang w:bidi="ar-DZ"/>
        </w:rPr>
      </w:pPr>
      <w:r w:rsidRPr="004F3D69">
        <w:rPr>
          <w:rFonts w:ascii="Times New Roman" w:eastAsia="Calibri" w:hAnsi="Times New Roman" w:cs="Traditional Arabic" w:hint="cs"/>
          <w:b/>
          <w:sz w:val="32"/>
          <w:szCs w:val="32"/>
          <w:rtl/>
          <w:lang w:val="fr-FR" w:bidi="ar-DZ"/>
        </w:rPr>
        <w:t xml:space="preserve">        </w:t>
      </w:r>
      <w:bookmarkStart w:id="0" w:name="_GoBack"/>
      <w:bookmarkEnd w:id="0"/>
    </w:p>
    <w:sectPr w:rsidR="00713DDC">
      <w:headerReference w:type="default" r:id="rId13"/>
      <w:footerReference w:type="default" r:id="rId14"/>
      <w:footnotePr>
        <w:numRestart w:val="eachPage"/>
      </w:foot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808" w:rsidRDefault="00E37808" w:rsidP="00713DDC">
      <w:pPr>
        <w:spacing w:after="0" w:line="240" w:lineRule="auto"/>
      </w:pPr>
      <w:r>
        <w:separator/>
      </w:r>
    </w:p>
  </w:endnote>
  <w:endnote w:type="continuationSeparator" w:id="0">
    <w:p w:rsidR="00E37808" w:rsidRDefault="00E37808" w:rsidP="0071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84028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167E" w:rsidRDefault="009D0D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D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167E" w:rsidRDefault="00E378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808" w:rsidRDefault="00E37808" w:rsidP="00713DDC">
      <w:pPr>
        <w:spacing w:after="0" w:line="240" w:lineRule="auto"/>
      </w:pPr>
      <w:r>
        <w:separator/>
      </w:r>
    </w:p>
  </w:footnote>
  <w:footnote w:type="continuationSeparator" w:id="0">
    <w:p w:rsidR="00E37808" w:rsidRDefault="00E37808" w:rsidP="0071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67E" w:rsidRDefault="00E37808" w:rsidP="00034BB9">
    <w:pPr>
      <w:pStyle w:val="Header"/>
      <w:pBdr>
        <w:bottom w:val="thickThinSmallGap" w:sz="24" w:space="1" w:color="622423" w:themeColor="accent2" w:themeShade="7F"/>
      </w:pBdr>
      <w:jc w:val="center"/>
    </w:pPr>
    <w:sdt>
      <w:sdtPr>
        <w:rPr>
          <w:rFonts w:asciiTheme="majorHAnsi" w:eastAsiaTheme="majorEastAsia" w:hAnsiTheme="majorHAnsi" w:cs="Traditional Arabic"/>
          <w:b/>
          <w:bCs/>
          <w:sz w:val="28"/>
          <w:szCs w:val="28"/>
        </w:rPr>
        <w:id w:val="469180924"/>
        <w:docPartObj>
          <w:docPartGallery w:val="Watermarks"/>
          <w:docPartUnique/>
        </w:docPartObj>
      </w:sdtPr>
      <w:sdtEndPr/>
      <w:sdtContent>
        <w:r>
          <w:rPr>
            <w:rFonts w:asciiTheme="majorHAnsi" w:eastAsiaTheme="majorEastAsia" w:hAnsiTheme="majorHAnsi" w:cs="Traditional Arabic"/>
            <w:b/>
            <w:bCs/>
            <w:noProof/>
            <w:sz w:val="28"/>
            <w:szCs w:val="28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894197080" o:spid="_x0000_s2049" type="#_x0000_t136" style="position:absolute;left:0;text-align:left;margin-left:0;margin-top:0;width:580.6pt;height:79.15pt;rotation:315;z-index:-251658752;mso-position-horizontal:center;mso-position-horizontal-relative:margin;mso-position-vertical:center;mso-position-vertical-relative:margin" o:allowincell="f" fillcolor="#a5a5a5 [2092]" stroked="f">
              <v:fill opacity=".5"/>
              <v:textpath style="font-family:&quot;Calibri&quot;;font-size:1pt" string="قانون الطاقة والطاقة المتجددة أ. بوالخضرة "/>
              <w10:wrap anchorx="margin" anchory="margin"/>
            </v:shape>
          </w:pict>
        </w:r>
      </w:sdtContent>
    </w:sdt>
    <w:sdt>
      <w:sdtPr>
        <w:rPr>
          <w:rFonts w:asciiTheme="majorHAnsi" w:eastAsiaTheme="majorEastAsia" w:hAnsiTheme="majorHAnsi" w:cs="Traditional Arabic"/>
          <w:b/>
          <w:bCs/>
          <w:sz w:val="28"/>
          <w:szCs w:val="28"/>
        </w:rPr>
        <w:alias w:val="Title"/>
        <w:id w:val="77738743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sdt>
          <w:sdtPr>
            <w:rPr>
              <w:rFonts w:asciiTheme="majorHAnsi" w:eastAsiaTheme="majorEastAsia" w:hAnsiTheme="majorHAnsi" w:cs="Traditional Arabic"/>
              <w:b/>
              <w:bCs/>
              <w:sz w:val="28"/>
              <w:szCs w:val="28"/>
            </w:rPr>
            <w:alias w:val="Title"/>
            <w:id w:val="-1574510003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r w:rsidR="00713DDC" w:rsidRPr="009470C4">
              <w:rPr>
                <w:rFonts w:asciiTheme="majorHAnsi" w:eastAsiaTheme="majorEastAsia" w:hAnsiTheme="majorHAnsi" w:cs="Traditional Arabic"/>
                <w:b/>
                <w:bCs/>
                <w:sz w:val="28"/>
                <w:szCs w:val="28"/>
                <w:rtl/>
              </w:rPr>
              <w:t>السنة أولى ماستر مهني قانون الطاقة والمناجم</w:t>
            </w:r>
            <w:r w:rsidR="00713DDC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 xml:space="preserve"> -</w:t>
            </w:r>
            <w:r w:rsidR="00713DDC" w:rsidRPr="009470C4">
              <w:rPr>
                <w:rFonts w:asciiTheme="majorHAnsi" w:eastAsiaTheme="majorEastAsia" w:hAnsiTheme="majorHAnsi" w:cs="Traditional Arabic"/>
                <w:b/>
                <w:bCs/>
                <w:sz w:val="28"/>
                <w:szCs w:val="28"/>
                <w:rtl/>
              </w:rPr>
              <w:t xml:space="preserve"> مادة </w:t>
            </w:r>
            <w:r w:rsidR="00713DDC" w:rsidRPr="009470C4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>قانون الطاقة والطاقة المتجددة</w:t>
            </w:r>
            <w:r w:rsidR="00713DDC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>.</w:t>
            </w:r>
            <w:r w:rsidR="00713DDC" w:rsidRPr="009470C4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>أ بوالخضرة</w:t>
            </w:r>
            <w:r w:rsidR="00713DDC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 xml:space="preserve">   جامعة جيجل</w:t>
            </w:r>
            <w:r w:rsidR="00713DDC" w:rsidRPr="009470C4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 xml:space="preserve">  2</w:t>
            </w:r>
            <w:r w:rsidR="00034BB9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>2</w:t>
            </w:r>
            <w:r w:rsidR="00713DDC" w:rsidRPr="009470C4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>- 2</w:t>
            </w:r>
            <w:r w:rsidR="00034BB9">
              <w:rPr>
                <w:rFonts w:asciiTheme="majorHAnsi" w:eastAsiaTheme="majorEastAsia" w:hAnsiTheme="majorHAnsi" w:cs="Traditional Arabic" w:hint="cs"/>
                <w:b/>
                <w:bCs/>
                <w:sz w:val="28"/>
                <w:szCs w:val="28"/>
                <w:rtl/>
              </w:rPr>
              <w:t>3</w:t>
            </w:r>
          </w:sdtContent>
        </w:sdt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08EF"/>
    <w:multiLevelType w:val="hybridMultilevel"/>
    <w:tmpl w:val="118EB3DA"/>
    <w:lvl w:ilvl="0" w:tplc="709ED65C">
      <w:start w:val="1"/>
      <w:numFmt w:val="decimal"/>
      <w:lvlText w:val="%1-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743091"/>
    <w:multiLevelType w:val="hybridMultilevel"/>
    <w:tmpl w:val="49A81246"/>
    <w:lvl w:ilvl="0" w:tplc="5B80A826">
      <w:start w:val="10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07E427F"/>
    <w:multiLevelType w:val="hybridMultilevel"/>
    <w:tmpl w:val="4AA4E7D8"/>
    <w:lvl w:ilvl="0" w:tplc="C8E2216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C4992"/>
    <w:multiLevelType w:val="hybridMultilevel"/>
    <w:tmpl w:val="93B407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F658F2"/>
    <w:multiLevelType w:val="hybridMultilevel"/>
    <w:tmpl w:val="E66A2872"/>
    <w:lvl w:ilvl="0" w:tplc="6A4C3F54">
      <w:start w:val="1"/>
      <w:numFmt w:val="decimal"/>
      <w:lvlText w:val="%1-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7E3B42"/>
    <w:multiLevelType w:val="hybridMultilevel"/>
    <w:tmpl w:val="1974E7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D078EF"/>
    <w:multiLevelType w:val="hybridMultilevel"/>
    <w:tmpl w:val="7D28CFB2"/>
    <w:lvl w:ilvl="0" w:tplc="8AB238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F92381"/>
    <w:multiLevelType w:val="hybridMultilevel"/>
    <w:tmpl w:val="C7EAFC14"/>
    <w:lvl w:ilvl="0" w:tplc="D062CF4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DC"/>
    <w:rsid w:val="00022D2E"/>
    <w:rsid w:val="00034BB9"/>
    <w:rsid w:val="001B2098"/>
    <w:rsid w:val="001C0796"/>
    <w:rsid w:val="0049357C"/>
    <w:rsid w:val="00713DDC"/>
    <w:rsid w:val="008621F9"/>
    <w:rsid w:val="008B40C4"/>
    <w:rsid w:val="009A7900"/>
    <w:rsid w:val="009D0D60"/>
    <w:rsid w:val="00A0353F"/>
    <w:rsid w:val="00CB0D3D"/>
    <w:rsid w:val="00E3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13D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3DDC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13DDC"/>
    <w:rPr>
      <w:vertAlign w:val="superscript"/>
    </w:rPr>
  </w:style>
  <w:style w:type="character" w:styleId="Hyperlink">
    <w:name w:val="Hyperlink"/>
    <w:uiPriority w:val="99"/>
    <w:unhideWhenUsed/>
    <w:rsid w:val="00713DD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3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DDC"/>
  </w:style>
  <w:style w:type="paragraph" w:styleId="Footer">
    <w:name w:val="footer"/>
    <w:basedOn w:val="Normal"/>
    <w:link w:val="FooterChar"/>
    <w:uiPriority w:val="99"/>
    <w:unhideWhenUsed/>
    <w:rsid w:val="00713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DDC"/>
  </w:style>
  <w:style w:type="paragraph" w:styleId="BalloonText">
    <w:name w:val="Balloon Text"/>
    <w:basedOn w:val="Normal"/>
    <w:link w:val="BalloonTextChar"/>
    <w:uiPriority w:val="99"/>
    <w:semiHidden/>
    <w:unhideWhenUsed/>
    <w:rsid w:val="0071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D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3DDC"/>
    <w:pPr>
      <w:ind w:left="720"/>
      <w:contextualSpacing/>
    </w:pPr>
  </w:style>
  <w:style w:type="character" w:customStyle="1" w:styleId="fontstyle01">
    <w:name w:val="fontstyle01"/>
    <w:basedOn w:val="DefaultParagraphFont"/>
    <w:rsid w:val="00713DDC"/>
    <w:rPr>
      <w:rFonts w:ascii="Sakkal Majalla" w:hAnsi="Sakkal Majalla" w:cs="Sakkal Majalla" w:hint="default"/>
      <w:b w:val="0"/>
      <w:bCs w:val="0"/>
      <w:i w:val="0"/>
      <w:iCs w:val="0"/>
      <w:color w:val="00000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B209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D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13D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3DDC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13DDC"/>
    <w:rPr>
      <w:vertAlign w:val="superscript"/>
    </w:rPr>
  </w:style>
  <w:style w:type="character" w:styleId="Hyperlink">
    <w:name w:val="Hyperlink"/>
    <w:uiPriority w:val="99"/>
    <w:unhideWhenUsed/>
    <w:rsid w:val="00713DD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3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DDC"/>
  </w:style>
  <w:style w:type="paragraph" w:styleId="Footer">
    <w:name w:val="footer"/>
    <w:basedOn w:val="Normal"/>
    <w:link w:val="FooterChar"/>
    <w:uiPriority w:val="99"/>
    <w:unhideWhenUsed/>
    <w:rsid w:val="00713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DDC"/>
  </w:style>
  <w:style w:type="paragraph" w:styleId="BalloonText">
    <w:name w:val="Balloon Text"/>
    <w:basedOn w:val="Normal"/>
    <w:link w:val="BalloonTextChar"/>
    <w:uiPriority w:val="99"/>
    <w:semiHidden/>
    <w:unhideWhenUsed/>
    <w:rsid w:val="0071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D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3DDC"/>
    <w:pPr>
      <w:ind w:left="720"/>
      <w:contextualSpacing/>
    </w:pPr>
  </w:style>
  <w:style w:type="character" w:customStyle="1" w:styleId="fontstyle01">
    <w:name w:val="fontstyle01"/>
    <w:basedOn w:val="DefaultParagraphFont"/>
    <w:rsid w:val="00713DDC"/>
    <w:rPr>
      <w:rFonts w:ascii="Sakkal Majalla" w:hAnsi="Sakkal Majalla" w:cs="Sakkal Majalla" w:hint="default"/>
      <w:b w:val="0"/>
      <w:bCs w:val="0"/>
      <w:i w:val="0"/>
      <w:iCs w:val="0"/>
      <w:color w:val="00000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B20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jp.cerist.dz/en/downArticle/86/8/3/161926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emocraticac.de/?p=7609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asjp.cerist.dz/en/downArticle/526/6/1/15505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sjp.cerist.dz/en/downArticle/435/6/1/1533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faad.com/Files/GJEB/GJEB-7-2-3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السنة أولى ماستر مهني قانون الطاقة والمناجم - مادة قانون الطاقة والطاقة المتجددة.أ بوالخضرة   جامعة جيجل  21- 22</vt:lpstr>
    </vt:vector>
  </TitlesOfParts>
  <Company>Oprekin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السنة أولى ماستر مهني قانون الطاقة والمناجم - مادة قانون الطاقة والطاقة المتجددة.أ بوالخضرة   جامعة جيجل  22- 23</dc:title>
  <dc:creator>Nora</dc:creator>
  <cp:lastModifiedBy>Nora</cp:lastModifiedBy>
  <cp:revision>1</cp:revision>
  <dcterms:created xsi:type="dcterms:W3CDTF">2021-12-29T19:45:00Z</dcterms:created>
  <dcterms:modified xsi:type="dcterms:W3CDTF">2023-01-04T05:19:00Z</dcterms:modified>
</cp:coreProperties>
</file>