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9F" w:rsidRPr="003A2912" w:rsidRDefault="00657E9F" w:rsidP="00657E9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Cours </w:t>
      </w:r>
      <w:r w:rsidRPr="003A2912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3A2912">
        <w:rPr>
          <w:rFonts w:asciiTheme="majorBidi" w:hAnsiTheme="majorBidi" w:cstheme="majorBidi"/>
          <w:sz w:val="28"/>
          <w:szCs w:val="28"/>
        </w:rPr>
        <w:t xml:space="preserve"> </w:t>
      </w:r>
      <w:r w:rsidRPr="003A2912">
        <w:rPr>
          <w:rFonts w:asciiTheme="majorBidi" w:hAnsiTheme="majorBidi" w:cstheme="majorBidi"/>
          <w:b/>
          <w:bCs/>
          <w:sz w:val="28"/>
          <w:szCs w:val="28"/>
        </w:rPr>
        <w:t xml:space="preserve">Analyses Physico-chimiques </w:t>
      </w:r>
      <w:r>
        <w:rPr>
          <w:rFonts w:asciiTheme="majorBidi" w:hAnsiTheme="majorBidi" w:cstheme="majorBidi"/>
          <w:b/>
          <w:bCs/>
          <w:sz w:val="28"/>
          <w:szCs w:val="28"/>
        </w:rPr>
        <w:t>de l’eau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39080B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1 - Paramètres physico-chimiques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39080B">
        <w:rPr>
          <w:rFonts w:asciiTheme="majorBidi" w:hAnsiTheme="majorBidi" w:cstheme="majorBidi"/>
          <w:b/>
          <w:bCs/>
          <w:sz w:val="24"/>
          <w:szCs w:val="24"/>
        </w:rPr>
        <w:t>des eaux</w:t>
      </w:r>
    </w:p>
    <w:p w:rsidR="00657E9F" w:rsidRPr="0039080B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pH : unité pH à la température de mesure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 pH d'une eau permet de mettre en évidence les espèces chimiques présentes dans un échantillon. 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parle alors de pH acide, de pH neutre ou de pH basique. La mesure du pH est réalisée par une méthode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A2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potentiométrique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en mesurant la différence de potentiel entre une électrode de verre et une électrode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référence.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- Conductivité : unité :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μS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/cm à une température de 25°C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La conductivité permet d'évaluer rapidement et approximativement la minéralisation globale de l'eau. La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mesure de conductivité est réalisée en mesurant la conductance d'une eau entre 2 électrodes métalliques,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elle est l'inverse de la résistivité électrique.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C’est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une méthode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A2912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potentiométrique</w:t>
      </w:r>
      <w:proofErr w:type="spellEnd"/>
      <w:r w:rsidR="00182299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Turbidité : unité : FNU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9080B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La turbidité est la réduction de la transparence d'un liquide due à la présence de matières non dissoutes. La mesure de la turbidité est très utile pour le contrôle d'un traitement mais ne donne pas d'indications sur les particules en suspension qui l'occasionne. </w:t>
      </w:r>
      <w:r w:rsidRPr="0039080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La mesure se fait par comparaison de la lumière diffusée et de la lumière transmise dans l'échantillon d'eau et par une gamme </w:t>
      </w:r>
      <w:proofErr w:type="gramStart"/>
      <w:r w:rsidRPr="0039080B">
        <w:rPr>
          <w:rFonts w:asciiTheme="majorBidi" w:hAnsiTheme="majorBidi" w:cstheme="majorBidi"/>
          <w:b/>
          <w:bCs/>
          <w:color w:val="000000"/>
          <w:sz w:val="28"/>
          <w:szCs w:val="28"/>
        </w:rPr>
        <w:t>étalon .</w:t>
      </w:r>
      <w:proofErr w:type="gramEnd"/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Alcalinité : unité : °F (degré français)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Default="00657E9F" w:rsidP="00FA0E9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L'alcalinité d'une eau correspond à la présence des hydrogénocarbonates, carbonates et hydroxydes. Le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titre alcalimétrique (TA) mesure la teneur de l'eau en hydroxydes libres et en carbonates. Le titre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alcalimétrique complet ou TAC correspond à la teneur en hydroxydes libres carbonates et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hydrogénocarbonates. Ces déterminations sont basées sur la neutralisation d'un volume d'eau par un acide</w:t>
      </w:r>
      <w:r w:rsidR="00FA0E9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minéral dilué.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9080B">
        <w:rPr>
          <w:rFonts w:asciiTheme="majorBidi" w:hAnsiTheme="majorBidi" w:cstheme="majorBidi"/>
          <w:b/>
          <w:bCs/>
          <w:color w:val="000000"/>
          <w:sz w:val="28"/>
          <w:szCs w:val="28"/>
        </w:rPr>
        <w:t>C’est une méthode volumétrique.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Dureté : unité : °F (degré français)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La dureté de l'eau est liée au lessivage des terrains traversés et elle correspond à la teneur en calcium (Ca)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et en magnésium (Mg). On parle de dureté totale d'une eau ou de titre hydrométrique (TH). Ces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déterminations sont basées sur la neutralisation d'un volume d'eau par un acide minéral dilué.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9080B">
        <w:rPr>
          <w:rFonts w:asciiTheme="majorBidi" w:hAnsiTheme="majorBidi" w:cstheme="majorBidi"/>
          <w:b/>
          <w:bCs/>
          <w:color w:val="000000"/>
          <w:sz w:val="28"/>
          <w:szCs w:val="28"/>
        </w:rPr>
        <w:t>C’est une méthode volumétrique.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CA4572" w:rsidRDefault="00182299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</w:rPr>
        <w:t>2</w:t>
      </w:r>
      <w:r w:rsidR="00657E9F" w:rsidRPr="00CA4572">
        <w:rPr>
          <w:rFonts w:asciiTheme="majorBidi" w:hAnsiTheme="majorBidi" w:cstheme="majorBidi"/>
          <w:b/>
          <w:bCs/>
          <w:color w:val="00B050"/>
          <w:sz w:val="24"/>
          <w:szCs w:val="24"/>
        </w:rPr>
        <w:t>-Substances et critères chimiques indicateurs de pollutions</w:t>
      </w:r>
    </w:p>
    <w:p w:rsidR="00657E9F" w:rsidRPr="00CA457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</w:p>
    <w:p w:rsidR="00657E9F" w:rsidRPr="00CA4572" w:rsidRDefault="00657E9F" w:rsidP="00657E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A4572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Les composés azotés : 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L’azote présent dans l'eau peut avoir un caractère organique ou minéral. L'azote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organique est principalement constitué par des composés tels que des protéines, des acides aminés. Le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plus souvent, ces produits ne se retrouvent qu'à de très faibles concentrations. Quant à l'azote minéral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(ammoniaque (NH</w:t>
      </w:r>
      <w:r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3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), ammoni</w:t>
      </w:r>
      <w:r>
        <w:rPr>
          <w:rFonts w:asciiTheme="majorBidi" w:hAnsiTheme="majorBidi" w:cstheme="majorBidi"/>
          <w:color w:val="000000"/>
          <w:sz w:val="24"/>
          <w:szCs w:val="24"/>
        </w:rPr>
        <w:t>um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(NH</w:t>
      </w:r>
      <w:r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4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), nitrates (N0</w:t>
      </w:r>
      <w:r w:rsidRPr="00CA4572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3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), nitrites (N0</w:t>
      </w:r>
      <w:r w:rsidRPr="00CA4572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2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)), il constitue la majeure partie de l'azote total. Le dosage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de l'azote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Kjeldahl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ne permet pas de déterminer l'azote total mais seulement les composés non oxydés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l'azote.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N total = N NH</w:t>
      </w:r>
      <w:r w:rsidRPr="00CA4572"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>4</w:t>
      </w: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+ N organique + N N0</w:t>
      </w:r>
      <w:r w:rsidRPr="00CA4572"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>2</w:t>
      </w: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+ N N0</w:t>
      </w:r>
      <w:r w:rsidRPr="00CA4572">
        <w:rPr>
          <w:rFonts w:asciiTheme="majorBidi" w:hAnsiTheme="majorBidi" w:cstheme="majorBidi"/>
          <w:b/>
          <w:bCs/>
          <w:color w:val="000000"/>
          <w:sz w:val="24"/>
          <w:szCs w:val="24"/>
          <w:vertAlign w:val="subscript"/>
        </w:rPr>
        <w:t>3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- Azote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Kjeldhal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 : unité : mg/l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NtK</w:t>
      </w:r>
      <w:proofErr w:type="spellEnd"/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Après minéralisation de l'azote organique, l'ammoniac (NH</w:t>
      </w:r>
      <w:r w:rsidRPr="000B716F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3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) est déplacé de son sel par l'ajout d'une base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NaOH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), puis on effectue une distillation dans une solution d'acide borique indicateur. Enfin un dosage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0B716F">
        <w:rPr>
          <w:rFonts w:asciiTheme="majorBidi" w:hAnsiTheme="majorBidi" w:cstheme="majorBidi"/>
          <w:b/>
          <w:bCs/>
          <w:color w:val="000000"/>
          <w:sz w:val="24"/>
          <w:szCs w:val="24"/>
        </w:rPr>
        <w:t>titrimétrique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est réalisé avec un acide titré.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Azote ammoniacal selon la norme : unité : mg/l NH</w:t>
      </w:r>
      <w:r w:rsidRPr="000B716F">
        <w:rPr>
          <w:rFonts w:asciiTheme="majorBidi" w:hAnsiTheme="majorBidi" w:cstheme="majorBidi"/>
          <w:b/>
          <w:bCs/>
          <w:color w:val="008100"/>
          <w:sz w:val="24"/>
          <w:szCs w:val="24"/>
          <w:vertAlign w:val="subscript"/>
        </w:rPr>
        <w:t>4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La présence d'azote ammoniacal (NH</w:t>
      </w:r>
      <w:r w:rsidRPr="000B716F">
        <w:rPr>
          <w:rFonts w:asciiTheme="majorBidi" w:hAnsiTheme="majorBidi" w:cstheme="majorBidi"/>
          <w:color w:val="000000"/>
          <w:sz w:val="24"/>
          <w:szCs w:val="24"/>
          <w:vertAlign w:val="subscript"/>
        </w:rPr>
        <w:t>4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) dans une eau traduit un processus de dégradation incomplète de la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matière organique. Une première méthode de détermination se fait par la mise en œuvre d'une réaction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colorée et d'un </w:t>
      </w:r>
      <w:r w:rsidRPr="000B716F">
        <w:rPr>
          <w:rFonts w:asciiTheme="majorBidi" w:hAnsiTheme="majorBidi" w:cstheme="majorBidi"/>
          <w:b/>
          <w:bCs/>
          <w:color w:val="000000"/>
          <w:sz w:val="24"/>
          <w:szCs w:val="24"/>
        </w:rPr>
        <w:t>dosage en spectrophotométrie d'absorption moléculaire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. Elle permet de doser des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concentrations faibles pour les eaux de consommation et les eaux de rivières.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Une deuxième méthode de dosage permet de doser des concentrations plus importantes notamment dans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les eaux industrielles ou résiduaires en mettant en œuvre un </w:t>
      </w:r>
      <w:r w:rsidRPr="000B716F">
        <w:rPr>
          <w:rFonts w:asciiTheme="majorBidi" w:hAnsiTheme="majorBidi" w:cstheme="majorBidi"/>
          <w:b/>
          <w:bCs/>
          <w:color w:val="000000"/>
          <w:sz w:val="24"/>
          <w:szCs w:val="24"/>
        </w:rPr>
        <w:t>dosage volumétrique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après entraînement à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vapeur en milieu basique. L'analyse se poursuit par un </w:t>
      </w:r>
      <w:r w:rsidRPr="000B716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dosage </w:t>
      </w:r>
      <w:proofErr w:type="spellStart"/>
      <w:r w:rsidRPr="000B716F">
        <w:rPr>
          <w:rFonts w:asciiTheme="majorBidi" w:hAnsiTheme="majorBidi" w:cstheme="majorBidi"/>
          <w:b/>
          <w:bCs/>
          <w:color w:val="000000"/>
          <w:sz w:val="24"/>
          <w:szCs w:val="24"/>
        </w:rPr>
        <w:t>titrimétrique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avec un acide titré.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Nitrites : unité : mg/l NO</w:t>
      </w:r>
      <w:r w:rsidRPr="000B716F">
        <w:rPr>
          <w:rFonts w:asciiTheme="majorBidi" w:hAnsiTheme="majorBidi" w:cstheme="majorBidi"/>
          <w:b/>
          <w:bCs/>
          <w:color w:val="008100"/>
          <w:sz w:val="24"/>
          <w:szCs w:val="24"/>
          <w:vertAlign w:val="subscript"/>
        </w:rPr>
        <w:t>2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Les nitrites proviennent soit d'une oxydation incomplète de l'ammoniaque, soit d'une réduction des nitrates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sous l'influence d'une action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dénitrifiante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. Une eau qui renferme des nitrites est à considérer comme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suspecte. 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Nitrates : unité : mg/L NO</w:t>
      </w:r>
      <w:r w:rsidRPr="000B716F">
        <w:rPr>
          <w:rFonts w:asciiTheme="majorBidi" w:hAnsiTheme="majorBidi" w:cstheme="majorBidi"/>
          <w:b/>
          <w:bCs/>
          <w:color w:val="008100"/>
          <w:sz w:val="24"/>
          <w:szCs w:val="24"/>
          <w:vertAlign w:val="subscript"/>
        </w:rPr>
        <w:t>3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Toutes les formes d'azote sont susceptibles d'être à l'origine des nitrates par un processus d'oxydation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biologique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9B4FD2" w:rsidRDefault="00657E9F" w:rsidP="00657E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B4FD2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Les composés carbonés : </w:t>
      </w:r>
    </w:p>
    <w:p w:rsidR="00657E9F" w:rsidRPr="009B4FD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C06F00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4FD2">
        <w:rPr>
          <w:rFonts w:asciiTheme="majorBidi" w:hAnsiTheme="majorBidi" w:cstheme="majorBidi"/>
          <w:color w:val="000000"/>
          <w:sz w:val="24"/>
          <w:szCs w:val="24"/>
        </w:rPr>
        <w:t>Il</w:t>
      </w:r>
      <w:r w:rsidR="00657E9F" w:rsidRPr="009B4FD2">
        <w:rPr>
          <w:rFonts w:asciiTheme="majorBidi" w:hAnsiTheme="majorBidi" w:cstheme="majorBidi"/>
          <w:color w:val="000000"/>
          <w:sz w:val="24"/>
          <w:szCs w:val="24"/>
        </w:rPr>
        <w:t xml:space="preserve"> existe différents indicateurs de pollution organique. Les composés carbonés</w:t>
      </w:r>
      <w:r w:rsidR="00657E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57E9F" w:rsidRPr="003A2912">
        <w:rPr>
          <w:rFonts w:asciiTheme="majorBidi" w:hAnsiTheme="majorBidi" w:cstheme="majorBidi"/>
          <w:color w:val="000000"/>
          <w:sz w:val="24"/>
          <w:szCs w:val="24"/>
        </w:rPr>
        <w:t>peuvent avoir différentes origines liées aux activités humaines, industrielles, agricoles ainsi qu'aux activités</w:t>
      </w:r>
      <w:r w:rsidR="00657E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57E9F" w:rsidRPr="003A2912">
        <w:rPr>
          <w:rFonts w:asciiTheme="majorBidi" w:hAnsiTheme="majorBidi" w:cstheme="majorBidi"/>
          <w:color w:val="000000"/>
          <w:sz w:val="24"/>
          <w:szCs w:val="24"/>
        </w:rPr>
        <w:t>naturelles.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Oxydabilité au permanganate de potassium : unité : mg/l d'O2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C06F0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Ce test a pour but d'approcher la teneur en matières organiques dans l'eau en mesurant la quantité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d'oxygène utilisée pour la réduction du permanganate de potassium (KMnO4) par les matières organiques</w:t>
      </w:r>
      <w:r w:rsidR="00B558C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contenues dans une eau. 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Demande Biochimique en oxygène après n jours (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DBOn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) : unité : mg/l d'O2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Ce test constitue un moyen de l'étude des phénomènes naturels de dégradation des matières organiques. Il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s'agit de déterminer la quantité d'oxygène consommée dans les conditions de l'essai après une incubation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durant 5 jours à 20°C et dans l'obscurité. Méthode soit sans dilution ou avec dilution.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Demande chimique en oxygène (DCO) : unité : mg/l dO2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Cette mesure correspond à une estimation des matières oxydables présentes dans l'eau, quelle que soit leur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origine organique ou minérale. Certaines matières organiques sont oxydées par du dichromate de potassium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(K2Cr2O7) en milieu acide et en présence de catalyseur à l'argent. On procède ensuite au titrage de l'excès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de dichromate de potassium avec une solution titrée de sulfate de fer (II) et d'ammonium.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Carbone organique total (COT) : unité : mg/l C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 COT c'est la quantité de carbone contenue dans l'eau, dans les matières organiques dissoutes ou en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suspension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dans l'eau.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Une oxydation par combustion, adjonction d'oxydants appropriés ou irradiation aux ultraviolets du carbone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organique de l'eau le transforme en dioxyde de carbone (CO2). Le CO2 se forme par oxydation et il est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ensuite dosé par spectrométrie infrarouge.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Carbone organique dissous (COD) : unité : mg/l C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 COD est la quantité de carbone contenue dans l'eau, dans les matières organiques passant, durant la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filtration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>, à travers une membrane filtrante de pores de 0,45μm. Le principe de dosage est identique à celui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du COT (voir précédemment).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9B4FD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B4FD2">
        <w:rPr>
          <w:rFonts w:asciiTheme="majorBidi" w:hAnsiTheme="majorBidi" w:cstheme="majorBidi"/>
          <w:b/>
          <w:bCs/>
          <w:color w:val="00B050"/>
          <w:sz w:val="24"/>
          <w:szCs w:val="24"/>
        </w:rPr>
        <w:t>3 - Les composés phosphorés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Les phosphates font partie des anions facilement fixés par le sol ; leur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présence dans les eaux naturelles est liée à la nature des terrains traversés et à la décomposition de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matière organique.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Les eaux de surface peuvent souvent être contaminées par des rejets domestiques, agricoles ou industriels.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Le phosphore existe à l'état minéral ou organique. Chaque fraction peut être séparée analytiquement en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orthophosphates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, phosphore hydrolysable et phosphore organique.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Phosphore total : unité mg/l Pt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 phosphore total est dosé, après minéralisation de l'échantillon, par passage sur un spectrophotomètre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d'émission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à plasma avec un couplage inductif (ICP AES).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4 - Autres paramètres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Matières en suspension (MES) : unité : mg/l MES :- Méthode par filtration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FA0E9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La détermination des matières en suspension (MES) est un indicateur de pollution concernant la charge en</w:t>
      </w:r>
      <w:r w:rsidR="00FA0E9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matières solides. L'eau est filtrée et le poids de matières retenues par le filtre est déterminé par une pesée</w:t>
      </w:r>
      <w:r w:rsidR="00FA0E9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différentielle après un séchage à 105 °C.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- Matières en suspension (MES) : unité </w:t>
      </w:r>
      <w:proofErr w:type="gram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:mg</w:t>
      </w:r>
      <w:proofErr w:type="gram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lMES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 :Méthode par centrifugation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A35E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L'eau est </w:t>
      </w: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centrifugée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>, le culot est recueilli, séché à 105°C et pesé. Cette méthode est surtout réservée aux</w:t>
      </w:r>
      <w:r w:rsidR="00FA0E9C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eaux contenant trop de matières colloïdales pour être filtrées dans de bonnes conditions. C'est le cas des</w:t>
      </w:r>
      <w:r w:rsidR="00A35EF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boues de stations d'épuration.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Résidu sec : unité : mg/l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Cette mesure permet d'évaluer la teneur des matières dissoutes et en suspension déterminée par pesée.</w:t>
      </w: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Une certaine quantité d'eau est évaporée soit à 110 ou 180 °C dans une coupelle tarée. Le résidu desséché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est ensuite évalué par pesée.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5 - Substances toxiques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Les autres composés :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- Cyanures (CN) : unité :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 de cyanures totaux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Les cyanures sont libérés dans l'environnement aquatique avec les effluents de l'industrie des produits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lastRenderedPageBreak/>
        <w:t>chimiques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organiques et de l'industrie de l'extraction et de la concentration de l'or, ainsi qu'avec les effluents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de procédés industriels (usines de gaz, fours à coke, épuration des gaz dans les usines sidérurgiques,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nettoyage des métaux et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électroplacage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). Le cyanure présent dans l'environnement aquatique peut aussi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provenir de sources non ponctuelles, dont le ruissellement découlant de l'application sur le sol et dans l'eau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de sels contenant des composés du cyanure utilisés comme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anti-agglomérants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Après libération des cyanures totaux sous forme de HCN par digestion sous UV et une distillation en ligne à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chaud en milieu acide, la quantité d'ions CN contenue dans le distillat est ensuite déterminée par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colorimétrie.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- Mercure (Hg) : unité :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 de mercure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A35E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Le mercure est un élément toxique qui n'accomplit aucune fonction physiologique utile chez l'homme; en</w:t>
      </w:r>
      <w:r w:rsidR="00A35EF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conséquence, il a été fixé une concentration maximale acceptable de 0,001 mg/L (1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/L) de mercure dans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l'eau potable.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Un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aliquot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d'échantillon est digéré en utilisant du brome généré chimiquement. Ce procédé est connu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comme décomposant en mercure (II) toutes les substances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organo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-mercuriques rencontrées.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Immédiatement avant de procéder à l'analyse, l'excès de brome est éliminé par l'acide ascorbique. Les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vapeurs de mercure élémentaire sont générées à partir de l'échantillon digéré par réduction avec le chlorure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d'étain (II), puis sont entraînées de la solution par un flux vecteur d'argon.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L'humidité est éliminée en permanence du courant gazeux et les vapeurs de mercure sont détectées par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spectrométrie de fluorescence atomique (CFA). Le mode opératoire est généralement automatisé à l'aide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d'un échantillonneur automatique et d'un logiciel de contrôle.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- Indice Phénol : unité :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 d'indice phénols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Fortement toxique, le phénol est connu pour sa persistance et son aptitude à la bioaccumulation.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L'échantillon est amené dans un flux vecteur en continu, mélangé à l'acide phosphorique, puis distillé en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ligne à pH 1,4. Le distillat contenant les composés phénoliques volatils à la vapeur est ensuite mélangé aux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solutions s'écoulant sans interruption d'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amino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-antipyrine et d'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héxacyanoferrate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(III) de potassium. Les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composés phénoliques présents dans le distillat sont oxydés par l'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héxacyanoferrate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(III) et les quinones qui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en résultent réagissent à l'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amino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-antipyrine en formant des produits de condensation de couleur jaune,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mesurés par spectrométrie dans un spectromètre de flux entre 505 nm et 515 nm.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Silice (SiO2) : unité : mg/l SiO2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Méthode colorimétrique, l'acide molybdique, en présence d'ions silicates (SiO3), forme un complexe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silicomolybdique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de couleur jaune puis est réduit par l'acide ascorbique en un complexe bleu.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Le mesurage de l'absorbance du complexe formé est effectué à 650nm.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6 - Recherche des anions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Les anions : Anions dosés par Chromatographie liquide ionique (Fluorures (F),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Orthophosphates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(PO </w:t>
      </w: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4 )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Nitrites (NO 2 ), Nitrates (NO 3 ), Sulfates (SO 4 ), Chlorures (Cl) ainsi que les Chlorites (ClO2), Chlorates (ClO3)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et les Bromates (BrO3)).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Principe de l'analyse :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On utilise un appareil de Chromatographie ionique. Cette méthode d'analyse est basée sur la séparation des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anions dans une colonne entre une phase mobile et une phase stationnaire.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Chaque soluté injecté sur la colonne est soumis à deux effets antagonistes : un effet d'entraînement par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phase mobile dans laquelle il est soluble, et un effet de rétention par la phase stationnaire avec laquelle il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interagit.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La séparation et le temps de migration des composés sont donc fonction des différentes affinités de ces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composés pour chaque phase.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La détection s'effectue par </w:t>
      </w:r>
      <w:proofErr w:type="spellStart"/>
      <w:r w:rsidRPr="003A2912">
        <w:rPr>
          <w:rFonts w:asciiTheme="majorBidi" w:hAnsiTheme="majorBidi" w:cstheme="majorBidi"/>
          <w:color w:val="000000"/>
          <w:sz w:val="24"/>
          <w:szCs w:val="24"/>
        </w:rPr>
        <w:t>conductimétrie</w:t>
      </w:r>
      <w:proofErr w:type="spellEnd"/>
      <w:r w:rsidRPr="003A2912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Liste des éléments dosés par chromatographie ionique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* Chlorures (mg/l) </w:t>
      </w:r>
      <w:proofErr w:type="gram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Cl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,</w:t>
      </w:r>
      <w:proofErr w:type="gramEnd"/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* Nitrites (mg/l) NO2,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* Nitrates (mg/l) NO3,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*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Orthophosphates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 (mg/l) PO4,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* Sulfates (mg/l) SO4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* Fluorures (mg/l) F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* Chlorites (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/l) ClO2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* Chlorates (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/l) ClO3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* Bromates (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/l) BrO3</w:t>
      </w: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7 - Paramètres dosés par ICP optique AES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Principe de l'analyse :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On utilise un spectrophotomètre d'émission par plasma à coupage inductif (ICP AES).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Cette technique fait appel à la propriété des atomes d'émettre une certaine énergie à une ou plusieurs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longueurs d'ondes spécifiques après excitation avec un gaz ionisé (Argon).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La détermination des éléments dissous se fait après filtration à 0,45μm, si nécessaire.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La détermination des éléments totaux de l'échantillon avec cet appareil peut se faire directement, si le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prélèvement ne contient pas de matières en suspension, sinon une minéralisation avec mise en solution est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nécessaire.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Liste des éléments dosés par ICP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402"/>
        <w:gridCol w:w="3400"/>
        <w:gridCol w:w="3392"/>
      </w:tblGrid>
      <w:tr w:rsidR="00657E9F" w:rsidRPr="003114D0" w:rsidTr="00C06F00">
        <w:tc>
          <w:tcPr>
            <w:tcW w:w="3402" w:type="dxa"/>
          </w:tcPr>
          <w:p w:rsidR="00657E9F" w:rsidRPr="002E2357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2357">
              <w:rPr>
                <w:rFonts w:asciiTheme="majorBidi" w:hAnsiTheme="majorBidi" w:cstheme="majorBidi"/>
                <w:b/>
                <w:bCs/>
                <w:color w:val="000000"/>
              </w:rPr>
              <w:t>Catégorie</w:t>
            </w:r>
          </w:p>
        </w:tc>
        <w:tc>
          <w:tcPr>
            <w:tcW w:w="3400" w:type="dxa"/>
          </w:tcPr>
          <w:p w:rsidR="00657E9F" w:rsidRPr="002E2357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2357">
              <w:rPr>
                <w:rFonts w:asciiTheme="majorBidi" w:hAnsiTheme="majorBidi" w:cstheme="majorBidi"/>
                <w:b/>
                <w:bCs/>
                <w:color w:val="000000"/>
              </w:rPr>
              <w:t>Éléments Symbole</w:t>
            </w:r>
          </w:p>
        </w:tc>
        <w:tc>
          <w:tcPr>
            <w:tcW w:w="3392" w:type="dxa"/>
          </w:tcPr>
          <w:p w:rsidR="00657E9F" w:rsidRPr="002E2357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2357">
              <w:rPr>
                <w:rFonts w:asciiTheme="majorBidi" w:hAnsiTheme="majorBidi" w:cstheme="majorBidi"/>
                <w:b/>
                <w:bCs/>
                <w:color w:val="000000"/>
              </w:rPr>
              <w:t>Matrice</w:t>
            </w:r>
          </w:p>
          <w:p w:rsidR="00657E9F" w:rsidRPr="002E2357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657E9F" w:rsidRPr="003114D0" w:rsidTr="00C06F00">
        <w:tc>
          <w:tcPr>
            <w:tcW w:w="3402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0000"/>
              </w:rPr>
              <w:t>Majeurs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00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* Calcium Ca mg/l,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* Magnésium Mg mg/l,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* Potassium K mg/l,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Sodium Na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/l.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92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57E9F" w:rsidRPr="003114D0" w:rsidTr="00C06F00">
        <w:tc>
          <w:tcPr>
            <w:tcW w:w="3402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0000"/>
              </w:rPr>
              <w:t>Toxiques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00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Antimoine Sb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Arsenic As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* Baryum Ba mg/l,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Cadmium Cd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Chrome Cr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Nickel Ni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Plomb Pb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Sélénium Se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</w:t>
            </w:r>
            <w:proofErr w:type="gram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l </w:t>
            </w:r>
            <w:r w:rsidRPr="003114D0">
              <w:rPr>
                <w:rFonts w:asciiTheme="majorBidi" w:hAnsiTheme="majorBidi" w:cstheme="majorBidi"/>
                <w:color w:val="000000"/>
              </w:rPr>
              <w:t>,</w:t>
            </w:r>
            <w:proofErr w:type="gramEnd"/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92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57E9F" w:rsidRPr="003114D0" w:rsidTr="00C06F00">
        <w:tc>
          <w:tcPr>
            <w:tcW w:w="3402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0000"/>
              </w:rPr>
              <w:t>Indésirables</w:t>
            </w:r>
          </w:p>
        </w:tc>
        <w:tc>
          <w:tcPr>
            <w:tcW w:w="3400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Aluminium Al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* Cuivre Cu mg/l,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Fer Fe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Manganèse Mn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* Zinc Zn mg/l,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92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57E9F" w:rsidRPr="003114D0" w:rsidTr="00C06F00">
        <w:tc>
          <w:tcPr>
            <w:tcW w:w="3402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0000"/>
              </w:rPr>
              <w:t>Autres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00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 xml:space="preserve">* Bore B </w:t>
            </w:r>
            <w:proofErr w:type="spellStart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μg</w:t>
            </w:r>
            <w:proofErr w:type="spellEnd"/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* Silicium Si mg/l,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8100"/>
              </w:rPr>
            </w:pPr>
            <w:r w:rsidRPr="003114D0">
              <w:rPr>
                <w:rFonts w:asciiTheme="majorBidi" w:hAnsiTheme="majorBidi" w:cstheme="majorBidi"/>
                <w:b/>
                <w:bCs/>
                <w:color w:val="008100"/>
              </w:rPr>
              <w:t>* Phosphore P mg/l,</w:t>
            </w: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92" w:type="dxa"/>
          </w:tcPr>
          <w:p w:rsidR="00657E9F" w:rsidRPr="003114D0" w:rsidRDefault="00657E9F" w:rsidP="0018229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8 - Absorption atomique</w:t>
      </w:r>
      <w:r w:rsidR="00A35EF0">
        <w:rPr>
          <w:rFonts w:asciiTheme="majorBidi" w:hAnsiTheme="majorBidi" w:cstheme="majorBidi"/>
          <w:b/>
          <w:bCs/>
          <w:color w:val="000000"/>
          <w:sz w:val="24"/>
          <w:szCs w:val="24"/>
        </w:rPr>
        <w:t> /</w:t>
      </w: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Four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La spectrométrie d'absorption atomique (AAS) constitue un outil privilégié d'analyse en sciences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environnementales. Couplée à un four graphite, la spectrométrie AAS autorise le dosage d'éléments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lastRenderedPageBreak/>
        <w:t>majeurs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et traces dans divers types de substrats : végétaux, sols, sédiments, roches, aliments, déchets solides,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effluents liquides, eaux souterraines, eaux de surface, eaux </w:t>
      </w: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usées ,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etc.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Principe de l'analyse :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FA0E9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Dans son principe, la spectrométrie AAS consiste à vaporiser l'échantillon liquide et à le chauffer à l'aide</w:t>
      </w:r>
      <w:r w:rsidR="00FA0E9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d'une flamme ou d'un four.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Les différentes étapes sont : dans son principe, la spectrométrie AAS consiste à vaporiser l'échantillon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liquide et à le chauffer à l'aide d'une flamme ou d'un four.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Les différentes étapes sont :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- Minéralisation de l’échantillon à une température proche de 100°C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- Injection de l’échantillon dans le spectromètre d’absorption atomique équipé d’un système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d’atomisation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électrothermique.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- Mesure de l’absorbance à une longueur d’onde spécifique de l’élément à doser.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- Correction du bruit de fond par effet Zeeman.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Liste des éléments dosés par Absorption Atomique Four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Antimoine * Sb en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/l,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Cadmium * Cd en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/l,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Arsenic * As en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</w:t>
      </w:r>
      <w:proofErr w:type="gram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l ,</w:t>
      </w:r>
      <w:proofErr w:type="gramEnd"/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Plomb * Pb en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</w:t>
      </w:r>
      <w:proofErr w:type="gram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l ,</w:t>
      </w:r>
      <w:proofErr w:type="gramEnd"/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Sélénium Se en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</w:t>
      </w:r>
      <w:proofErr w:type="gram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l ,</w:t>
      </w:r>
      <w:proofErr w:type="gramEnd"/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 xml:space="preserve">Chrome * Cr en </w:t>
      </w:r>
      <w:proofErr w:type="spellStart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μg</w:t>
      </w:r>
      <w:proofErr w:type="spellEnd"/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/l</w:t>
      </w:r>
    </w:p>
    <w:p w:rsidR="00A35EF0" w:rsidRDefault="00A35EF0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0000"/>
          <w:sz w:val="24"/>
          <w:szCs w:val="24"/>
        </w:rPr>
        <w:t>9 - Indices globaux sur boues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Après traitement des eaux usées, les éléments polluants et leurs produits de transformation se trouvent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rassemblés dans des suspensions plus ou moins concentrées dénommées « boues ».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Ces boues constituent un déchet encore liquide, certaines sont chimiquement inertes,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d'autres sont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fermentescibles et nauséabondes.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Plusieurs facteurs caractérisent la nature de la boue dont :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Matières en suspensions (MES) unité : en mg/l MES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Cette teneur (MES) est déterminée par centrifugation, récupération du culot et séchage jusqu'à poids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constant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82299" w:rsidRDefault="00182299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182299" w:rsidRDefault="00182299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Matières volatiles (MVS) et les matières minérales (MM) unité : en mg/l MVS et en mg/l MM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Le </w:t>
      </w: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résidus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de l'analyse de la matière est porté à 550°C pendant 2 heures. Ceci permet d'évaluer de façon</w:t>
      </w:r>
    </w:p>
    <w:p w:rsidR="00657E9F" w:rsidRPr="003A2912" w:rsidRDefault="00657E9F" w:rsidP="0018229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approximative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le taux de matière organique de la boue ainsi que la partie minérale qui était présente dans</w:t>
      </w:r>
      <w:r w:rsidR="001822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l'échantillon.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8100"/>
          <w:sz w:val="24"/>
          <w:szCs w:val="24"/>
        </w:rPr>
      </w:pPr>
      <w:r w:rsidRPr="003A2912">
        <w:rPr>
          <w:rFonts w:asciiTheme="majorBidi" w:hAnsiTheme="majorBidi" w:cstheme="majorBidi"/>
          <w:b/>
          <w:bCs/>
          <w:color w:val="008100"/>
          <w:sz w:val="24"/>
          <w:szCs w:val="24"/>
        </w:rPr>
        <w:t>- Matière sèche ou taux d'humidité ou siccité unité : g/l ou %</w:t>
      </w:r>
    </w:p>
    <w:p w:rsidR="00657E9F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A2912">
        <w:rPr>
          <w:rFonts w:asciiTheme="majorBidi" w:hAnsiTheme="majorBidi" w:cstheme="majorBidi"/>
          <w:color w:val="000000"/>
          <w:sz w:val="24"/>
          <w:szCs w:val="24"/>
        </w:rPr>
        <w:t>Elle s'exprime généralement en g/l ou en % en points, elle est déterminée par séchage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A2912">
        <w:rPr>
          <w:rFonts w:asciiTheme="majorBidi" w:hAnsiTheme="majorBidi" w:cstheme="majorBidi"/>
          <w:color w:val="000000"/>
          <w:sz w:val="24"/>
          <w:szCs w:val="24"/>
        </w:rPr>
        <w:t>7 à 105°C jusqu'à</w:t>
      </w:r>
    </w:p>
    <w:p w:rsidR="00657E9F" w:rsidRPr="003A2912" w:rsidRDefault="00657E9F" w:rsidP="00657E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3A2912">
        <w:rPr>
          <w:rFonts w:asciiTheme="majorBidi" w:hAnsiTheme="majorBidi" w:cstheme="majorBidi"/>
          <w:color w:val="000000"/>
          <w:sz w:val="24"/>
          <w:szCs w:val="24"/>
        </w:rPr>
        <w:t>poids</w:t>
      </w:r>
      <w:proofErr w:type="gramEnd"/>
      <w:r w:rsidRPr="003A2912">
        <w:rPr>
          <w:rFonts w:asciiTheme="majorBidi" w:hAnsiTheme="majorBidi" w:cstheme="majorBidi"/>
          <w:color w:val="000000"/>
          <w:sz w:val="24"/>
          <w:szCs w:val="24"/>
        </w:rPr>
        <w:t xml:space="preserve"> constant.</w:t>
      </w:r>
    </w:p>
    <w:p w:rsidR="00805CF2" w:rsidRDefault="00805CF2"/>
    <w:sectPr w:rsidR="00805CF2" w:rsidSect="00657E9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63C79"/>
    <w:multiLevelType w:val="hybridMultilevel"/>
    <w:tmpl w:val="AE0C78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E9F"/>
    <w:rsid w:val="00182299"/>
    <w:rsid w:val="00657E9F"/>
    <w:rsid w:val="00805CF2"/>
    <w:rsid w:val="00A35EF0"/>
    <w:rsid w:val="00B558CF"/>
    <w:rsid w:val="00C06F00"/>
    <w:rsid w:val="00D17A79"/>
    <w:rsid w:val="00FA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E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7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2396</Words>
  <Characters>13181</Characters>
  <Application>Microsoft Office Word</Application>
  <DocSecurity>0</DocSecurity>
  <Lines>109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Afak</dc:creator>
  <cp:lastModifiedBy>Afak</cp:lastModifiedBy>
  <cp:revision>6</cp:revision>
  <dcterms:created xsi:type="dcterms:W3CDTF">2022-01-02T10:05:00Z</dcterms:created>
  <dcterms:modified xsi:type="dcterms:W3CDTF">2022-01-02T10:33:00Z</dcterms:modified>
</cp:coreProperties>
</file>