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22" w:rsidRDefault="000C4722" w:rsidP="000C4722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</w:pPr>
      <w:r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 xml:space="preserve">       Thèmes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 xml:space="preserve"> exposés signalisation cellulaire 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par les hormones stéroïdiennes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Mécanismes d'action et effets physiologiques.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Le rôle des seconds messagers dans la signalisation cellulaire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Focus sur l'</w:t>
      </w:r>
      <w:proofErr w:type="spellStart"/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AMPc</w:t>
      </w:r>
      <w:proofErr w:type="spellEnd"/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 xml:space="preserve"> et le calcium.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cellulaire dans la réponse immunitaire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Mécanismes et régulations.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Les voies de signalisation des récepteurs couplés aux protéines G (GPCR)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Structure et fonction.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cellulaire dans le développement embryonnaire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Rôle des facteurs de croissance.</w:t>
      </w:r>
    </w:p>
    <w:p w:rsid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apoptotique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Mécanismes et implications dans les maladies.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Les voies de signalisation des récepteurs à activité tyrosine kinase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Mécanismes et implications dans le cancer.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cellulaire dans le métabolisme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Interaction entre les voies de signalisation et la régulation métabolique.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 xml:space="preserve">Les mécanismes de résistance aux médicaments </w:t>
      </w:r>
      <w:proofErr w:type="spellStart"/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chimiothérapeutiques</w:t>
      </w:r>
      <w:proofErr w:type="spellEnd"/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Rôle de la signalisation cellulaire.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par les cytokines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Impact sur l'inflammation et les maladies auto-immunes.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cellulaire dans la régénération tissulaire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Mécanismes et applications thérapeutiques.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L'impact de la signalisation cellulaire sur la différenciation cellulaire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Études de cas dans les cellules souches.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cellulaire et le vieillissement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Mécanismes et implications pour la santé.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Les voies de signalisation dans les maladies neurodégénératives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Focus sur la maladie d'Alzheimer et de Parkinson.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La signalisation cellulaire dans le cancer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Voies de prolifération et d'invasion.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Le rôle des lipides dans la signalisation cellulaire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 xml:space="preserve"> : Sphingolipides et </w:t>
      </w:r>
      <w:proofErr w:type="gramStart"/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phospholipides</w:t>
      </w:r>
      <w:proofErr w:type="gramEnd"/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 xml:space="preserve">La signalisation cellulaire et le </w:t>
      </w:r>
      <w:proofErr w:type="spellStart"/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microbiome</w:t>
      </w:r>
      <w:proofErr w:type="spellEnd"/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Interactions entre les cellules hôtes et les bactéries.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Les mécanismes de la signalisation cellulaire dans la réponse au stress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Stress oxydatif et réparation de l'ADN.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lastRenderedPageBreak/>
        <w:t>La signalisation cellulaire et la communication intercellulaire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Rôle des jonctions communicantes.</w:t>
      </w:r>
    </w:p>
    <w:p w:rsidR="000C4722" w:rsidRPr="000C4722" w:rsidRDefault="000C4722" w:rsidP="000C472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ahoma" w:eastAsia="Times New Roman" w:hAnsi="Tahoma" w:cs="Tahoma"/>
          <w:color w:val="262626"/>
          <w:sz w:val="24"/>
          <w:szCs w:val="24"/>
          <w:lang w:val="fr-FR"/>
        </w:rPr>
      </w:pPr>
      <w:r w:rsidRPr="000C4722">
        <w:rPr>
          <w:rFonts w:ascii="Tahoma" w:eastAsia="Times New Roman" w:hAnsi="Tahoma" w:cs="Tahoma"/>
          <w:b/>
          <w:bCs/>
          <w:color w:val="262626"/>
          <w:sz w:val="24"/>
          <w:szCs w:val="24"/>
          <w:lang w:val="fr-FR"/>
        </w:rPr>
        <w:t>Les nouvelles technologies d'imagerie pour étudier la signalisation cellulaire</w:t>
      </w:r>
      <w:r w:rsidRPr="000C4722">
        <w:rPr>
          <w:rFonts w:ascii="Tahoma" w:eastAsia="Times New Roman" w:hAnsi="Tahoma" w:cs="Tahoma"/>
          <w:color w:val="262626"/>
          <w:sz w:val="24"/>
          <w:szCs w:val="24"/>
          <w:lang w:val="fr-FR"/>
        </w:rPr>
        <w:t> : Avancées et applications.</w:t>
      </w:r>
    </w:p>
    <w:p w:rsidR="00812129" w:rsidRPr="000C4722" w:rsidRDefault="00812129">
      <w:pPr>
        <w:rPr>
          <w:lang w:val="fr-FR"/>
        </w:rPr>
      </w:pPr>
    </w:p>
    <w:sectPr w:rsidR="00812129" w:rsidRPr="000C47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400B"/>
    <w:multiLevelType w:val="multilevel"/>
    <w:tmpl w:val="73E4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22"/>
    <w:rsid w:val="000C4722"/>
    <w:rsid w:val="0081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7E5D"/>
  <w15:chartTrackingRefBased/>
  <w15:docId w15:val="{B9A77F61-A19A-4C3A-A5BD-57EE5C6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C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MINA</cp:lastModifiedBy>
  <cp:revision>1</cp:revision>
  <dcterms:created xsi:type="dcterms:W3CDTF">2025-02-02T19:25:00Z</dcterms:created>
  <dcterms:modified xsi:type="dcterms:W3CDTF">2025-02-02T19:27:00Z</dcterms:modified>
</cp:coreProperties>
</file>