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CE" w:rsidRPr="00F6050F" w:rsidRDefault="00186085" w:rsidP="005423CE">
      <w:pPr>
        <w:rPr>
          <w:rFonts w:asciiTheme="minorBidi" w:hAnsiTheme="minorBidi"/>
          <w:sz w:val="26"/>
          <w:szCs w:val="26"/>
        </w:rPr>
      </w:pPr>
      <w:r w:rsidRPr="00F6050F">
        <w:rPr>
          <w:rFonts w:asciiTheme="minorBidi" w:hAnsiTheme="minorBidi"/>
          <w:sz w:val="26"/>
          <w:szCs w:val="26"/>
        </w:rPr>
        <w:drawing>
          <wp:inline distT="0" distB="0" distL="0" distR="0" wp14:anchorId="1E7A5643" wp14:editId="0E2CA008">
            <wp:extent cx="9604787" cy="604787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1548" cy="605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085" w:rsidRPr="00F6050F" w:rsidRDefault="005423CE" w:rsidP="005423CE">
      <w:pPr>
        <w:tabs>
          <w:tab w:val="left" w:pos="1617"/>
        </w:tabs>
        <w:rPr>
          <w:rFonts w:asciiTheme="minorBidi" w:hAnsiTheme="minorBidi"/>
          <w:sz w:val="26"/>
          <w:szCs w:val="26"/>
        </w:rPr>
      </w:pPr>
      <w:r w:rsidRPr="00F6050F">
        <w:rPr>
          <w:rFonts w:asciiTheme="minorBidi" w:hAnsiTheme="minorBidi"/>
          <w:sz w:val="26"/>
          <w:szCs w:val="26"/>
        </w:rPr>
        <w:lastRenderedPageBreak/>
        <w:tab/>
      </w:r>
      <w:r w:rsidRPr="00F6050F">
        <w:rPr>
          <w:rFonts w:asciiTheme="minorBidi" w:hAnsiTheme="minorBidi"/>
          <w:sz w:val="26"/>
          <w:szCs w:val="26"/>
        </w:rPr>
        <w:drawing>
          <wp:inline distT="0" distB="0" distL="0" distR="0" wp14:anchorId="3BFDF63A" wp14:editId="353F115B">
            <wp:extent cx="8049748" cy="5582429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49748" cy="55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F6F4F1"/>
          <w:left w:val="single" w:sz="6" w:space="0" w:color="F6F4F1"/>
          <w:bottom w:val="single" w:sz="6" w:space="0" w:color="F6F4F1"/>
          <w:right w:val="single" w:sz="6" w:space="0" w:color="F6F4F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12786"/>
      </w:tblGrid>
      <w:tr w:rsidR="00F6050F" w:rsidRPr="00F6050F" w:rsidTr="00F6050F">
        <w:trPr>
          <w:tblHeader/>
        </w:trPr>
        <w:tc>
          <w:tcPr>
            <w:tcW w:w="0" w:type="auto"/>
            <w:tcBorders>
              <w:bottom w:val="single" w:sz="6" w:space="0" w:color="F6F4F1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450" w:line="240" w:lineRule="auto"/>
              <w:rPr>
                <w:rFonts w:asciiTheme="minorBidi" w:eastAsia="Times New Roman" w:hAnsiTheme="minorBidi"/>
                <w:b/>
                <w:bCs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b/>
                <w:bCs/>
                <w:color w:val="0D405F"/>
                <w:sz w:val="26"/>
                <w:szCs w:val="26"/>
                <w:lang w:eastAsia="fr-FR"/>
              </w:rPr>
              <w:lastRenderedPageBreak/>
              <w:t>Temps et modes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450" w:line="240" w:lineRule="auto"/>
              <w:rPr>
                <w:rFonts w:asciiTheme="minorBidi" w:eastAsia="Times New Roman" w:hAnsiTheme="minorBidi"/>
                <w:b/>
                <w:bCs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b/>
                <w:bCs/>
                <w:color w:val="0D405F"/>
                <w:sz w:val="26"/>
                <w:szCs w:val="26"/>
                <w:lang w:eastAsia="fr-FR"/>
              </w:rPr>
              <w:t>Leur valeur</w:t>
            </w:r>
          </w:p>
        </w:tc>
      </w:tr>
      <w:tr w:rsidR="00F6050F" w:rsidRPr="00F6050F" w:rsidTr="00F6050F"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before="240" w:after="120" w:line="240" w:lineRule="auto"/>
              <w:outlineLvl w:val="2"/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  <w:t>Le mode indicatif</w:t>
            </w:r>
          </w:p>
        </w:tc>
      </w:tr>
      <w:tr w:rsidR="00F6050F" w:rsidRPr="00F6050F" w:rsidTr="00F6050F"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L’indicatif est un mode personnel. Il sert à raconter ce qu’il se passe.</w:t>
            </w:r>
          </w:p>
        </w:tc>
      </w:tr>
      <w:tr w:rsidR="00F6050F" w:rsidRPr="00F6050F" w:rsidTr="00F6050F">
        <w:tc>
          <w:tcPr>
            <w:tcW w:w="0" w:type="auto"/>
            <w:tcBorders>
              <w:bottom w:val="single" w:sz="6" w:space="0" w:color="F6F4F1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Le présent de l’indicatif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Ce temps exprime un fait ou une action qui se déroule au moment où vous vous exprimez.</w:t>
            </w:r>
          </w:p>
          <w:p w:rsidR="00F6050F" w:rsidRPr="00F6050F" w:rsidRDefault="00F6050F" w:rsidP="00F6050F">
            <w:pPr>
              <w:spacing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Il est composé :</w:t>
            </w:r>
          </w:p>
          <w:p w:rsidR="00F6050F" w:rsidRPr="00F6050F" w:rsidRDefault="00F6050F" w:rsidP="00F605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du présent d’énonciation,</w:t>
            </w:r>
          </w:p>
          <w:p w:rsidR="00F6050F" w:rsidRPr="00F6050F" w:rsidRDefault="00F6050F" w:rsidP="00F605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du présent de vérité générale,</w:t>
            </w:r>
          </w:p>
          <w:p w:rsidR="00F6050F" w:rsidRPr="00F6050F" w:rsidRDefault="00F6050F" w:rsidP="00F605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du présent d’habitude,</w:t>
            </w:r>
          </w:p>
          <w:p w:rsidR="00F6050F" w:rsidRPr="00F6050F" w:rsidRDefault="00F6050F" w:rsidP="00F605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du présent de narration,</w:t>
            </w:r>
          </w:p>
          <w:p w:rsidR="00F6050F" w:rsidRPr="00F6050F" w:rsidRDefault="00F6050F" w:rsidP="00F605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du futur proche,</w:t>
            </w:r>
          </w:p>
          <w:p w:rsidR="00F6050F" w:rsidRPr="00F6050F" w:rsidRDefault="00F6050F" w:rsidP="00F605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et du passé récent.</w:t>
            </w:r>
          </w:p>
          <w:p w:rsidR="00F6050F" w:rsidRPr="00F6050F" w:rsidRDefault="00F6050F" w:rsidP="00F6050F">
            <w:pPr>
              <w:spacing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t>Exemples :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t>J’écris mon mémoire.</w:t>
            </w: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br/>
              <w:t>La Terre tourne autour du soleil.</w:t>
            </w: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br/>
              <w:t>Tous les dimanches, je vais courir.</w:t>
            </w: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br/>
              <w:t>J’arrive dans 5 minutes.</w:t>
            </w:r>
          </w:p>
        </w:tc>
      </w:tr>
      <w:tr w:rsidR="00F6050F" w:rsidRPr="00F6050F" w:rsidTr="00F6050F">
        <w:tc>
          <w:tcPr>
            <w:tcW w:w="0" w:type="auto"/>
            <w:tcBorders>
              <w:bottom w:val="single" w:sz="6" w:space="0" w:color="F6F4F1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Le passé composé de l’indicatif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Il s’agit d’un temps du passé qui exprime une action ou un fait qui a déjà eu lieu au moment où vous vous exprimez.</w:t>
            </w:r>
            <w:bookmarkStart w:id="0" w:name="_GoBack"/>
            <w:bookmarkEnd w:id="0"/>
          </w:p>
          <w:p w:rsidR="00F6050F" w:rsidRPr="00F6050F" w:rsidRDefault="00F6050F" w:rsidP="00F6050F">
            <w:pPr>
              <w:spacing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Il s’utilise avec l’auxiliaire être ou avoir conjugué au présent de l’indicatif.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t>Exemple : Nous avons mangé.</w:t>
            </w:r>
          </w:p>
        </w:tc>
      </w:tr>
      <w:tr w:rsidR="00F6050F" w:rsidRPr="00F6050F" w:rsidTr="00F6050F">
        <w:tc>
          <w:tcPr>
            <w:tcW w:w="0" w:type="auto"/>
            <w:tcBorders>
              <w:bottom w:val="single" w:sz="6" w:space="0" w:color="F6F4F1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L’imparfait de l’indicatif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Il exprime un fait ou une action qui a déjà eu lieu, mais qui peut encore se dérouler. Il est souvent utilisé pour décrire une scène ou un paysage.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t>Exemple : Quand tu étais enfant, tu aimais lire.</w:t>
            </w:r>
          </w:p>
        </w:tc>
      </w:tr>
      <w:tr w:rsidR="00F6050F" w:rsidRPr="00F6050F" w:rsidTr="00F6050F">
        <w:tc>
          <w:tcPr>
            <w:tcW w:w="0" w:type="auto"/>
            <w:tcBorders>
              <w:bottom w:val="single" w:sz="6" w:space="0" w:color="F6F4F1"/>
            </w:tcBorders>
            <w:shd w:val="clear" w:color="auto" w:fill="FFFFFF"/>
            <w:hideMark/>
          </w:tcPr>
          <w:p w:rsidR="00F6050F" w:rsidRPr="00F6050F" w:rsidRDefault="002210A7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lastRenderedPageBreak/>
              <w:t>Le</w:t>
            </w:r>
            <w:r w:rsidR="00F6050F"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 xml:space="preserve"> plus-que-parfait de l’indicatif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Il insinue l’antériorité d’une action par rapport à un acte à l’imparfait, passé composé ou au passé simple. Il s’utilise avec l’auxiliaire être ou avoir conjuguée à l’imparfait de l’indicatif.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t>Exemple : Il m’a dit qu’il ne l’avait jamais vu.</w:t>
            </w:r>
          </w:p>
        </w:tc>
      </w:tr>
      <w:tr w:rsidR="00F6050F" w:rsidRPr="00F6050F" w:rsidTr="00F6050F">
        <w:tc>
          <w:tcPr>
            <w:tcW w:w="0" w:type="auto"/>
            <w:tcBorders>
              <w:bottom w:val="single" w:sz="6" w:space="0" w:color="F6F4F1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Le passé simple de l’indicatif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C’est le temps du récit, d’une action passée, le plus souvent brève.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t>Exemple : Soudain, la porte s’ouvrit.</w:t>
            </w:r>
          </w:p>
        </w:tc>
      </w:tr>
      <w:tr w:rsidR="00F6050F" w:rsidRPr="00F6050F" w:rsidTr="00F6050F">
        <w:tc>
          <w:tcPr>
            <w:tcW w:w="0" w:type="auto"/>
            <w:tcBorders>
              <w:bottom w:val="single" w:sz="6" w:space="0" w:color="F6F4F1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Le passé antérieur de l’indicatif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Il insinue l’antériorité d’une action par rapport à un fait au passé simple et s’utilise avec l’auxiliaire être ou avoir conjuguée au passé simple.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t>Exemple : Dès qu’elle eut fini son mémoire, elle sortit.</w:t>
            </w:r>
          </w:p>
        </w:tc>
      </w:tr>
      <w:tr w:rsidR="00F6050F" w:rsidRPr="00F6050F" w:rsidTr="00F6050F">
        <w:tc>
          <w:tcPr>
            <w:tcW w:w="0" w:type="auto"/>
            <w:tcBorders>
              <w:bottom w:val="single" w:sz="6" w:space="0" w:color="F6F4F1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Le futur simple de l’indicatif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Il exprime :</w:t>
            </w:r>
          </w:p>
          <w:p w:rsidR="00F6050F" w:rsidRPr="00F6050F" w:rsidRDefault="00F6050F" w:rsidP="00F605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l’avenir,</w:t>
            </w:r>
          </w:p>
          <w:p w:rsidR="00F6050F" w:rsidRPr="00F6050F" w:rsidRDefault="00F6050F" w:rsidP="00F605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le futur historique,</w:t>
            </w:r>
          </w:p>
          <w:p w:rsidR="00F6050F" w:rsidRPr="00F6050F" w:rsidRDefault="00F6050F" w:rsidP="00F605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ou l’ordre, l’interdiction.</w:t>
            </w:r>
          </w:p>
          <w:p w:rsidR="00F6050F" w:rsidRPr="00F6050F" w:rsidRDefault="00F6050F" w:rsidP="00F6050F">
            <w:pPr>
              <w:spacing w:after="100" w:afterAutospacing="1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t>Exemples :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t>Après le rendu du mémoire, nous partirons en vacances.</w:t>
            </w: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br/>
              <w:t>Tu ne tueras point.</w:t>
            </w:r>
          </w:p>
        </w:tc>
      </w:tr>
      <w:tr w:rsidR="00F6050F" w:rsidRPr="00F6050F" w:rsidTr="00F6050F">
        <w:tc>
          <w:tcPr>
            <w:tcW w:w="0" w:type="auto"/>
            <w:tcBorders>
              <w:bottom w:val="single" w:sz="6" w:space="0" w:color="F6F4F1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Le futur antérieur de l’indicatif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shd w:val="clear" w:color="auto" w:fill="FFFFFF"/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  <w:t>Il insinue l’antériorité d’une action par rapport à un fait au futur simple.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color w:val="0D405F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color w:val="0D405F"/>
                <w:sz w:val="26"/>
                <w:szCs w:val="26"/>
                <w:lang w:eastAsia="fr-FR"/>
              </w:rPr>
              <w:t>Exemple : Quand tu seras parti, ils pourront délibérer.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before="240" w:after="120" w:line="240" w:lineRule="auto"/>
              <w:outlineLvl w:val="2"/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  <w:t>Le mode subjonctif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Le subjonctif est un mode utilisé pour exprimer un doute, un fait ou une action souhaitée ou incertaine</w:t>
            </w:r>
            <w:r w:rsidR="002210A7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 xml:space="preserve"> (une probabilité)</w:t>
            </w: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. Pour conjuguer les verbes au subjonctif, il faut utiliser </w:t>
            </w:r>
            <w:r w:rsidRPr="00F6050F">
              <w:rPr>
                <w:rFonts w:asciiTheme="minorBidi" w:eastAsia="Times New Roman" w:hAnsiTheme="minorBidi"/>
                <w:b/>
                <w:bCs/>
                <w:i/>
                <w:iCs/>
                <w:sz w:val="26"/>
                <w:szCs w:val="26"/>
                <w:lang w:eastAsia="fr-FR"/>
              </w:rPr>
              <w:t>que ou qu’</w:t>
            </w: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avant le verbe.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Le présent du subjonctif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2210A7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 xml:space="preserve">Exprime </w:t>
            </w:r>
            <w:r w:rsidR="002210A7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un souhait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Exemple : Je souhaite qu’il vienne en discuter.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lastRenderedPageBreak/>
              <w:t>Le passé du subjonctif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2210A7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Il exprime une action supposée réalisée au moment où le locuteur s’exprime.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Exemple : Je ne crois pas qu’elle ait fini son mémoire.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L’imparfait du subjonctif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Il est souvent utilisé en littérature. C’est un temps simple qui exprime une action incertaine, non-réalisée au moment où le locuteur s’exprimait.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Exemple : Je ne pensais pas qu’il fût si fainéant.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Le plus-que-parfait du subjonctif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 xml:space="preserve">Il exprime une action </w:t>
            </w:r>
            <w:r w:rsidR="002210A7"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</w:t>
            </w:r>
            <w:r w:rsidR="002210A7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nattendue</w:t>
            </w: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, supposée réalisée au moment où le locuteur s’exprimait. Il s’utilise avec l’auxiliaire être ou avoir conjuguée à l’imparfait du subjonctif.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Exemple : Je ne pensais pas qu’il eût rendu son mémoire à l’heure.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before="240" w:after="120" w:line="240" w:lineRule="auto"/>
              <w:outlineLvl w:val="2"/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  <w:t>Le mode conditionnel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 xml:space="preserve">L’emploi du conditionnel est utilisé pour exprimer un </w:t>
            </w:r>
            <w:r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vœu</w:t>
            </w: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, une hypothèse</w:t>
            </w:r>
            <w:r w:rsidR="00021893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, une incertitude</w:t>
            </w: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 xml:space="preserve"> ou toute action soumise à une condition.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Le conditionnel présent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Il peut servir à atténuer une demande.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Exemple :</w:t>
            </w: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 “</w:t>
            </w: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Je voudrais que tu me donne de l’argent</w:t>
            </w: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” plutôt que “</w:t>
            </w: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Je veux que tu me donnes de l’argent</w:t>
            </w: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”.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Le conditionnel passé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Il peut servir à exprimer un reproche ou un regret.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Exemple : Tu aurais pu nous le dire.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before="240" w:after="120" w:line="240" w:lineRule="auto"/>
              <w:outlineLvl w:val="2"/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  <w:t>Le mode participe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C’est un mode impersonnel qui existe sous une forme simple (participe présent) ou composée (participe passé). Il se charge d’indiquer comment se déroule une action par rapport à une autre.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Participe présent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Il fonctionne comme un adverbe variable et s’accorde en genre et en nombre en fonction du sujet.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Exemple : Il rédigeait son document en sifflant.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Participe passé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Il s’utilise avec les auxiliaires être ou avoir et est le plus souvent utilisé pour exprimer une action passée dans les temps composés.</w:t>
            </w:r>
          </w:p>
          <w:p w:rsidR="00F6050F" w:rsidRPr="00F6050F" w:rsidRDefault="00F6050F" w:rsidP="00F6050F">
            <w:pPr>
              <w:spacing w:after="100" w:afterAutospacing="1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Pour le construire, on rajoute au radical du verbe une terminaison en fonction du groupe du verbe.</w:t>
            </w:r>
          </w:p>
          <w:tbl>
            <w:tblPr>
              <w:tblW w:w="0" w:type="auto"/>
              <w:tblBorders>
                <w:top w:val="single" w:sz="6" w:space="0" w:color="F6F4F1"/>
                <w:left w:val="single" w:sz="6" w:space="0" w:color="F6F4F1"/>
                <w:bottom w:val="single" w:sz="6" w:space="0" w:color="F6F4F1"/>
                <w:right w:val="single" w:sz="6" w:space="0" w:color="F6F4F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6"/>
              <w:gridCol w:w="1374"/>
              <w:gridCol w:w="1649"/>
            </w:tblGrid>
            <w:tr w:rsidR="00F6050F" w:rsidRPr="00F6050F" w:rsidTr="00F6050F">
              <w:trPr>
                <w:tblHeader/>
              </w:trPr>
              <w:tc>
                <w:tcPr>
                  <w:tcW w:w="0" w:type="auto"/>
                  <w:tcBorders>
                    <w:bottom w:val="single" w:sz="6" w:space="0" w:color="F6F4F1"/>
                    <w:right w:val="single" w:sz="6" w:space="0" w:color="EFEEE9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lastRenderedPageBreak/>
                    <w:t>Terminaisons du participe passé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single" w:sz="6" w:space="0" w:color="EFEEE9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1er groupe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2ème groupe</w:t>
                  </w:r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Masculin singulier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-é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-i</w:t>
                  </w:r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Masculin pluriel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és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is</w:t>
                  </w:r>
                  <w:proofErr w:type="spellEnd"/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Féminin singulier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ée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ie</w:t>
                  </w:r>
                  <w:proofErr w:type="spellEnd"/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Féminin pluriel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ées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ies</w:t>
                  </w:r>
                  <w:proofErr w:type="spellEnd"/>
                </w:p>
              </w:tc>
            </w:tr>
          </w:tbl>
          <w:p w:rsidR="00F6050F" w:rsidRPr="00F6050F" w:rsidRDefault="00F6050F" w:rsidP="00F6050F">
            <w:pPr>
              <w:spacing w:after="100" w:afterAutospacing="1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 </w:t>
            </w:r>
          </w:p>
          <w:p w:rsidR="00F6050F" w:rsidRPr="00F6050F" w:rsidRDefault="00F6050F" w:rsidP="00F6050F">
            <w:pPr>
              <w:spacing w:after="100" w:afterAutospacing="1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Pour les verbes du troisième groupe, il y a trois</w:t>
            </w:r>
            <w:proofErr w:type="gramStart"/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  possibilités</w:t>
            </w:r>
            <w:proofErr w:type="gramEnd"/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 xml:space="preserve"> de terminaisons.</w:t>
            </w:r>
          </w:p>
          <w:tbl>
            <w:tblPr>
              <w:tblW w:w="0" w:type="auto"/>
              <w:tblBorders>
                <w:top w:val="single" w:sz="6" w:space="0" w:color="F6F4F1"/>
                <w:left w:val="single" w:sz="6" w:space="0" w:color="F6F4F1"/>
                <w:bottom w:val="single" w:sz="6" w:space="0" w:color="F6F4F1"/>
                <w:right w:val="single" w:sz="6" w:space="0" w:color="F6F4F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7"/>
              <w:gridCol w:w="1692"/>
              <w:gridCol w:w="1490"/>
              <w:gridCol w:w="1894"/>
            </w:tblGrid>
            <w:tr w:rsidR="00F6050F" w:rsidRPr="00F6050F" w:rsidTr="00F6050F">
              <w:trPr>
                <w:tblHeader/>
              </w:trPr>
              <w:tc>
                <w:tcPr>
                  <w:tcW w:w="0" w:type="auto"/>
                  <w:tcBorders>
                    <w:bottom w:val="single" w:sz="6" w:space="0" w:color="F6F4F1"/>
                    <w:right w:val="single" w:sz="6" w:space="0" w:color="EFEEE9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3ème groupe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single" w:sz="6" w:space="0" w:color="EFEEE9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Modèle 1</w:t>
                  </w:r>
                </w:p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(ex : prendre)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single" w:sz="6" w:space="0" w:color="EFEEE9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Modèle 2</w:t>
                  </w:r>
                </w:p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(ex : suivre)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Modèle 3</w:t>
                  </w:r>
                </w:p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(ex : absoudre)</w:t>
                  </w:r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Masculin singulier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-s / pris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– / suivi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-us / absous</w:t>
                  </w:r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Masculin pluriel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-s / pris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-s / suivis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-us / absous</w:t>
                  </w:r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Féminin singulier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-se / prise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-e / suivie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ute</w:t>
                  </w:r>
                  <w:proofErr w:type="spellEnd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 xml:space="preserve"> / absoute</w:t>
                  </w:r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Féminin pluriel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-ses / prises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-es / suivies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utes</w:t>
                  </w:r>
                  <w:proofErr w:type="spellEnd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 xml:space="preserve"> / absoutes</w:t>
                  </w:r>
                </w:p>
              </w:tc>
            </w:tr>
          </w:tbl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before="240" w:after="120" w:line="240" w:lineRule="auto"/>
              <w:outlineLvl w:val="2"/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  <w:lastRenderedPageBreak/>
              <w:t>Le mode infinitif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lastRenderedPageBreak/>
              <w:t>Il permet de nommer le verbe et l’action. Il est composé de l’infinitif présent et de l’infinitif passé.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Infinitif présent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Il s’agit de la forme nominale du verbe et permet d’utiliser un verbe à la place d’un nom.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Exemple : Lire est indispensable. J’ai un cours à donner.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Infinitif passé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Il s’agit d’une forme conjuguée qui indique une certaine antériorité. Pour l’utiliser, il faut l’auxiliaire avoir ou être à l’infinitif présent et le participe passé du verbe d’action.</w:t>
            </w:r>
          </w:p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Exemple : Nous regrettons d’avoir vendu notre voiture.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before="240" w:after="120" w:line="240" w:lineRule="auto"/>
              <w:outlineLvl w:val="2"/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b/>
                <w:bCs/>
                <w:color w:val="1B2B68"/>
                <w:sz w:val="26"/>
                <w:szCs w:val="26"/>
                <w:lang w:eastAsia="fr-FR"/>
              </w:rPr>
              <w:t>Le mode impératif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gridSpan w:val="2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Il permet d’exprimer un ordre, un conseil à réaliser dans un futur proche.</w:t>
            </w:r>
          </w:p>
        </w:tc>
      </w:tr>
      <w:tr w:rsidR="00F6050F" w:rsidRPr="00F6050F" w:rsidTr="00F6050F">
        <w:tblPrEx>
          <w:shd w:val="clear" w:color="auto" w:fill="auto"/>
        </w:tblPrEx>
        <w:tc>
          <w:tcPr>
            <w:tcW w:w="0" w:type="auto"/>
            <w:tcBorders>
              <w:bottom w:val="single" w:sz="6" w:space="0" w:color="F6F4F1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Impératif présent</w:t>
            </w:r>
          </w:p>
        </w:tc>
        <w:tc>
          <w:tcPr>
            <w:tcW w:w="0" w:type="auto"/>
            <w:tcBorders>
              <w:bottom w:val="single" w:sz="6" w:space="0" w:color="F6F4F1"/>
              <w:right w:val="nil"/>
            </w:tcBorders>
            <w:hideMark/>
          </w:tcPr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Il énonce un ordre ou une interdiction. Pour le construire, il nécessaire de savoir qu’il ne se conjugue qu’avec trois personnes (tu, nous, vous).</w:t>
            </w:r>
          </w:p>
          <w:p w:rsidR="00F6050F" w:rsidRPr="00F6050F" w:rsidRDefault="00F6050F" w:rsidP="00F6050F">
            <w:pPr>
              <w:spacing w:after="100" w:afterAutospacing="1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i/>
                <w:iCs/>
                <w:sz w:val="26"/>
                <w:szCs w:val="26"/>
                <w:lang w:eastAsia="fr-FR"/>
              </w:rPr>
              <w:t>Exemple : Mange ton dessert ! Finis tes devoirs !</w:t>
            </w:r>
          </w:p>
          <w:tbl>
            <w:tblPr>
              <w:tblW w:w="0" w:type="auto"/>
              <w:tblBorders>
                <w:top w:val="single" w:sz="6" w:space="0" w:color="F6F4F1"/>
                <w:left w:val="single" w:sz="6" w:space="0" w:color="F6F4F1"/>
                <w:bottom w:val="single" w:sz="6" w:space="0" w:color="F6F4F1"/>
                <w:right w:val="single" w:sz="6" w:space="0" w:color="F6F4F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0"/>
              <w:gridCol w:w="1374"/>
              <w:gridCol w:w="1649"/>
              <w:gridCol w:w="1649"/>
            </w:tblGrid>
            <w:tr w:rsidR="00F6050F" w:rsidRPr="00F6050F" w:rsidTr="00F6050F">
              <w:trPr>
                <w:tblHeader/>
              </w:trPr>
              <w:tc>
                <w:tcPr>
                  <w:tcW w:w="0" w:type="auto"/>
                  <w:tcBorders>
                    <w:bottom w:val="single" w:sz="6" w:space="0" w:color="F6F4F1"/>
                    <w:right w:val="single" w:sz="6" w:space="0" w:color="EFEEE9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Impératif présent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single" w:sz="6" w:space="0" w:color="EFEEE9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1er groupe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single" w:sz="6" w:space="0" w:color="EFEEE9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2ème groupe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b/>
                      <w:bCs/>
                      <w:sz w:val="26"/>
                      <w:szCs w:val="26"/>
                      <w:lang w:eastAsia="fr-FR"/>
                    </w:rPr>
                    <w:t>3ème groupe</w:t>
                  </w:r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is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-s</w:t>
                  </w:r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Nous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ons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issons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ons</w:t>
                  </w:r>
                  <w:proofErr w:type="spellEnd"/>
                </w:p>
              </w:tc>
            </w:tr>
            <w:tr w:rsidR="00F6050F" w:rsidRPr="00F6050F" w:rsidTr="00F6050F"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Vous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ez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F6F4F1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issez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F6F4F1"/>
                    <w:right w:val="nil"/>
                  </w:tcBorders>
                  <w:hideMark/>
                </w:tcPr>
                <w:p w:rsidR="00F6050F" w:rsidRPr="00F6050F" w:rsidRDefault="00F6050F" w:rsidP="00F6050F">
                  <w:pPr>
                    <w:spacing w:after="450" w:line="240" w:lineRule="auto"/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</w:pPr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-</w:t>
                  </w:r>
                  <w:proofErr w:type="spellStart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iez</w:t>
                  </w:r>
                  <w:proofErr w:type="spellEnd"/>
                  <w:r w:rsidRPr="00F6050F">
                    <w:rPr>
                      <w:rFonts w:asciiTheme="minorBidi" w:eastAsia="Times New Roman" w:hAnsiTheme="minorBidi"/>
                      <w:sz w:val="26"/>
                      <w:szCs w:val="26"/>
                      <w:lang w:eastAsia="fr-FR"/>
                    </w:rPr>
                    <w:t>*</w:t>
                  </w:r>
                </w:p>
              </w:tc>
            </w:tr>
          </w:tbl>
          <w:p w:rsidR="00F6050F" w:rsidRPr="00F6050F" w:rsidRDefault="00F6050F" w:rsidP="00F6050F">
            <w:pPr>
              <w:spacing w:after="0" w:line="240" w:lineRule="auto"/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</w:pPr>
            <w:r w:rsidRPr="00F6050F">
              <w:rPr>
                <w:rFonts w:asciiTheme="minorBidi" w:eastAsia="Times New Roman" w:hAnsiTheme="minorBidi"/>
                <w:sz w:val="26"/>
                <w:szCs w:val="26"/>
                <w:lang w:eastAsia="fr-FR"/>
              </w:rPr>
              <w:t>*Pour les verbes dire et faire : dites, faites.</w:t>
            </w:r>
          </w:p>
        </w:tc>
      </w:tr>
    </w:tbl>
    <w:p w:rsidR="00F6050F" w:rsidRDefault="00F6050F" w:rsidP="00F6050F">
      <w:pPr>
        <w:spacing w:before="240" w:after="120" w:line="240" w:lineRule="auto"/>
        <w:outlineLvl w:val="1"/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</w:pPr>
    </w:p>
    <w:p w:rsidR="00F6050F" w:rsidRPr="00F6050F" w:rsidRDefault="00F6050F" w:rsidP="00F6050F">
      <w:pPr>
        <w:spacing w:before="240" w:after="120" w:line="240" w:lineRule="auto"/>
        <w:outlineLvl w:val="1"/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  <w:lastRenderedPageBreak/>
        <w:t>Les règles de concordance des temps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La concordance des temps exprime la relation entre le temps de la proposition principale et des subordonnées.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Les règles de concordance des temps sont à utiliser dans des phrases où deux actions sont présentes : la proposition principale et la proposition subordonnée. Ces règles s’appliquent à la proposition subordonnée.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Le verbe de la proposition subordonnée peut exprimer :</w:t>
      </w:r>
    </w:p>
    <w:p w:rsidR="00F6050F" w:rsidRPr="00F6050F" w:rsidRDefault="00F6050F" w:rsidP="00F60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une action simultanée,</w:t>
      </w:r>
    </w:p>
    <w:p w:rsidR="00F6050F" w:rsidRPr="00F6050F" w:rsidRDefault="00F6050F" w:rsidP="00F60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une action antérieure,</w:t>
      </w:r>
    </w:p>
    <w:p w:rsidR="00F6050F" w:rsidRPr="00F6050F" w:rsidRDefault="00F6050F" w:rsidP="00F60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une action brève,</w:t>
      </w:r>
    </w:p>
    <w:p w:rsidR="00F6050F" w:rsidRPr="00F6050F" w:rsidRDefault="00F6050F" w:rsidP="00F60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une action postérieure au verbe de la proposition principale.</w:t>
      </w:r>
    </w:p>
    <w:p w:rsidR="00F6050F" w:rsidRPr="00F6050F" w:rsidRDefault="00F6050F" w:rsidP="00F6050F">
      <w:pPr>
        <w:spacing w:before="240" w:after="120" w:line="240" w:lineRule="auto"/>
        <w:outlineLvl w:val="2"/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  <w:t>1/ Utiliser l’imparfait de l’indicatif pour exprimer une action en simultanée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Exemples :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Je pensais que j’</w:t>
      </w:r>
      <w:r w:rsidRPr="00F6050F">
        <w:rPr>
          <w:rFonts w:asciiTheme="minorBidi" w:eastAsia="Times New Roman" w:hAnsiTheme="minorBidi"/>
          <w:color w:val="0D405F"/>
          <w:sz w:val="26"/>
          <w:szCs w:val="26"/>
          <w:u w:val="single"/>
          <w:lang w:eastAsia="fr-FR"/>
        </w:rPr>
        <w:t>allais</w:t>
      </w: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 finir mon mémoire rapidement.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Je voyais qu’elle </w:t>
      </w:r>
      <w:r w:rsidRPr="00F6050F">
        <w:rPr>
          <w:rFonts w:asciiTheme="minorBidi" w:eastAsia="Times New Roman" w:hAnsiTheme="minorBidi"/>
          <w:color w:val="0D405F"/>
          <w:sz w:val="26"/>
          <w:szCs w:val="26"/>
          <w:u w:val="single"/>
          <w:lang w:eastAsia="fr-FR"/>
        </w:rPr>
        <w:t>arrivait</w:t>
      </w: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.</w:t>
      </w:r>
    </w:p>
    <w:p w:rsidR="00F6050F" w:rsidRPr="00F6050F" w:rsidRDefault="00F6050F" w:rsidP="00F6050F">
      <w:pPr>
        <w:spacing w:before="240" w:after="120" w:line="240" w:lineRule="auto"/>
        <w:outlineLvl w:val="2"/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  <w:t>2/ Utiliser le plus-que-parfait de l’indicatif pour exprimer une action antérieure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Exemple :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Il me disait qu’il les </w:t>
      </w:r>
      <w:r w:rsidRPr="00F6050F">
        <w:rPr>
          <w:rFonts w:asciiTheme="minorBidi" w:eastAsia="Times New Roman" w:hAnsiTheme="minorBidi"/>
          <w:color w:val="0D405F"/>
          <w:sz w:val="26"/>
          <w:szCs w:val="26"/>
          <w:u w:val="single"/>
          <w:lang w:eastAsia="fr-FR"/>
        </w:rPr>
        <w:t>avait</w:t>
      </w: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 déjà </w:t>
      </w:r>
      <w:r w:rsidRPr="00F6050F">
        <w:rPr>
          <w:rFonts w:asciiTheme="minorBidi" w:eastAsia="Times New Roman" w:hAnsiTheme="minorBidi"/>
          <w:color w:val="0D405F"/>
          <w:sz w:val="26"/>
          <w:szCs w:val="26"/>
          <w:u w:val="single"/>
          <w:lang w:eastAsia="fr-FR"/>
        </w:rPr>
        <w:t>vus</w:t>
      </w: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.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Il me raconta qu’il les </w:t>
      </w:r>
      <w:r w:rsidRPr="00F6050F">
        <w:rPr>
          <w:rFonts w:asciiTheme="minorBidi" w:eastAsia="Times New Roman" w:hAnsiTheme="minorBidi"/>
          <w:color w:val="0D405F"/>
          <w:sz w:val="26"/>
          <w:szCs w:val="26"/>
          <w:u w:val="single"/>
          <w:lang w:eastAsia="fr-FR"/>
        </w:rPr>
        <w:t>avait</w:t>
      </w: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 déjà </w:t>
      </w:r>
      <w:r w:rsidRPr="00F6050F">
        <w:rPr>
          <w:rFonts w:asciiTheme="minorBidi" w:eastAsia="Times New Roman" w:hAnsiTheme="minorBidi"/>
          <w:color w:val="0D405F"/>
          <w:sz w:val="26"/>
          <w:szCs w:val="26"/>
          <w:u w:val="single"/>
          <w:lang w:eastAsia="fr-FR"/>
        </w:rPr>
        <w:t>rencontrées</w:t>
      </w: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.</w:t>
      </w:r>
    </w:p>
    <w:p w:rsidR="00F6050F" w:rsidRPr="00F6050F" w:rsidRDefault="00F6050F" w:rsidP="00F6050F">
      <w:pPr>
        <w:spacing w:before="240" w:after="120" w:line="240" w:lineRule="auto"/>
        <w:outlineLvl w:val="2"/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  <w:t>3/ Utiliser le passé simple de l’indicatif pour exprimer une action brève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Exemple :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lastRenderedPageBreak/>
        <w:t>J’étais en train de finir mon mémoire quand il me </w:t>
      </w:r>
      <w:r w:rsidRPr="00F6050F">
        <w:rPr>
          <w:rFonts w:asciiTheme="minorBidi" w:eastAsia="Times New Roman" w:hAnsiTheme="minorBidi"/>
          <w:color w:val="0D405F"/>
          <w:sz w:val="26"/>
          <w:szCs w:val="26"/>
          <w:u w:val="single"/>
          <w:lang w:eastAsia="fr-FR"/>
        </w:rPr>
        <w:t>demanda</w:t>
      </w: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 de l’aider.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Je dormais lorsque la fille de ma sœur </w:t>
      </w:r>
      <w:r w:rsidRPr="00F6050F">
        <w:rPr>
          <w:rFonts w:asciiTheme="minorBidi" w:eastAsia="Times New Roman" w:hAnsiTheme="minorBidi"/>
          <w:color w:val="0D405F"/>
          <w:sz w:val="26"/>
          <w:szCs w:val="26"/>
          <w:u w:val="single"/>
          <w:lang w:eastAsia="fr-FR"/>
        </w:rPr>
        <w:t>arriva</w:t>
      </w: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.</w:t>
      </w:r>
    </w:p>
    <w:p w:rsidR="00F6050F" w:rsidRPr="00F6050F" w:rsidRDefault="00F6050F" w:rsidP="00F6050F">
      <w:pPr>
        <w:spacing w:before="240" w:after="120" w:line="240" w:lineRule="auto"/>
        <w:outlineLvl w:val="2"/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b/>
          <w:bCs/>
          <w:color w:val="1B2B68"/>
          <w:sz w:val="26"/>
          <w:szCs w:val="26"/>
          <w:lang w:eastAsia="fr-FR"/>
        </w:rPr>
        <w:t>4/ Utiliser le conditionnel présent pour exprimer la postérité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Exemple :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Je compris alors que j’y </w:t>
      </w:r>
      <w:r w:rsidRPr="00F6050F">
        <w:rPr>
          <w:rFonts w:asciiTheme="minorBidi" w:eastAsia="Times New Roman" w:hAnsiTheme="minorBidi"/>
          <w:color w:val="0D405F"/>
          <w:sz w:val="26"/>
          <w:szCs w:val="26"/>
          <w:u w:val="single"/>
          <w:lang w:eastAsia="fr-FR"/>
        </w:rPr>
        <w:t>arriverais</w:t>
      </w: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.</w:t>
      </w:r>
    </w:p>
    <w:p w:rsidR="00F6050F" w:rsidRPr="00F6050F" w:rsidRDefault="00F6050F" w:rsidP="00F6050F">
      <w:pPr>
        <w:spacing w:after="100" w:afterAutospacing="1" w:line="240" w:lineRule="auto"/>
        <w:rPr>
          <w:rFonts w:asciiTheme="minorBidi" w:eastAsia="Times New Roman" w:hAnsiTheme="minorBidi"/>
          <w:color w:val="0D405F"/>
          <w:sz w:val="26"/>
          <w:szCs w:val="26"/>
          <w:lang w:eastAsia="fr-FR"/>
        </w:rPr>
      </w:pP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J’avais compris alors qu’il y </w:t>
      </w:r>
      <w:r w:rsidRPr="00F6050F">
        <w:rPr>
          <w:rFonts w:asciiTheme="minorBidi" w:eastAsia="Times New Roman" w:hAnsiTheme="minorBidi"/>
          <w:color w:val="0D405F"/>
          <w:sz w:val="26"/>
          <w:szCs w:val="26"/>
          <w:u w:val="single"/>
          <w:lang w:eastAsia="fr-FR"/>
        </w:rPr>
        <w:t>arriverait</w:t>
      </w:r>
      <w:r w:rsidRPr="00F6050F">
        <w:rPr>
          <w:rFonts w:asciiTheme="minorBidi" w:eastAsia="Times New Roman" w:hAnsiTheme="minorBidi"/>
          <w:color w:val="0D405F"/>
          <w:sz w:val="26"/>
          <w:szCs w:val="26"/>
          <w:lang w:eastAsia="fr-FR"/>
        </w:rPr>
        <w:t>.</w:t>
      </w:r>
    </w:p>
    <w:p w:rsidR="009F1026" w:rsidRPr="00F6050F" w:rsidRDefault="009F1026">
      <w:pPr>
        <w:rPr>
          <w:rFonts w:asciiTheme="minorBidi" w:hAnsiTheme="minorBidi"/>
          <w:sz w:val="26"/>
          <w:szCs w:val="26"/>
        </w:rPr>
      </w:pPr>
    </w:p>
    <w:sectPr w:rsidR="009F1026" w:rsidRPr="00F6050F" w:rsidSect="00186085">
      <w:footerReference w:type="default" r:id="rId9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354" w:rsidRDefault="00885354" w:rsidP="00186085">
      <w:pPr>
        <w:spacing w:after="0" w:line="240" w:lineRule="auto"/>
      </w:pPr>
      <w:r>
        <w:separator/>
      </w:r>
    </w:p>
  </w:endnote>
  <w:endnote w:type="continuationSeparator" w:id="0">
    <w:p w:rsidR="00885354" w:rsidRDefault="00885354" w:rsidP="0018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085" w:rsidRDefault="00186085">
    <w:pPr>
      <w:pStyle w:val="Pieddepage"/>
    </w:pPr>
  </w:p>
  <w:p w:rsidR="00186085" w:rsidRDefault="00186085">
    <w:pPr>
      <w:pStyle w:val="Pieddepage"/>
    </w:pPr>
  </w:p>
  <w:p w:rsidR="00186085" w:rsidRDefault="00186085">
    <w:pPr>
      <w:pStyle w:val="Pieddepage"/>
    </w:pPr>
  </w:p>
  <w:p w:rsidR="00186085" w:rsidRDefault="00186085">
    <w:pPr>
      <w:pStyle w:val="Pieddepage"/>
    </w:pPr>
  </w:p>
  <w:p w:rsidR="00186085" w:rsidRDefault="0018608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354" w:rsidRDefault="00885354" w:rsidP="00186085">
      <w:pPr>
        <w:spacing w:after="0" w:line="240" w:lineRule="auto"/>
      </w:pPr>
      <w:r>
        <w:separator/>
      </w:r>
    </w:p>
  </w:footnote>
  <w:footnote w:type="continuationSeparator" w:id="0">
    <w:p w:rsidR="00885354" w:rsidRDefault="00885354" w:rsidP="00186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C7601"/>
    <w:multiLevelType w:val="multilevel"/>
    <w:tmpl w:val="B2B0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71E11"/>
    <w:multiLevelType w:val="multilevel"/>
    <w:tmpl w:val="77EE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CF6453"/>
    <w:multiLevelType w:val="multilevel"/>
    <w:tmpl w:val="2AB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85"/>
    <w:rsid w:val="00021893"/>
    <w:rsid w:val="00186085"/>
    <w:rsid w:val="002210A7"/>
    <w:rsid w:val="002956EA"/>
    <w:rsid w:val="005423CE"/>
    <w:rsid w:val="005F2F88"/>
    <w:rsid w:val="00885354"/>
    <w:rsid w:val="009F1026"/>
    <w:rsid w:val="00F6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41F0-C8CD-46AF-BD18-17480E1C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6085"/>
  </w:style>
  <w:style w:type="paragraph" w:styleId="Pieddepage">
    <w:name w:val="footer"/>
    <w:basedOn w:val="Normal"/>
    <w:link w:val="PieddepageCar"/>
    <w:uiPriority w:val="99"/>
    <w:unhideWhenUsed/>
    <w:rsid w:val="0018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</TotalTime>
  <Pages>9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2024-02-12T10:35:00Z</dcterms:created>
  <dcterms:modified xsi:type="dcterms:W3CDTF">2024-02-12T10:39:00Z</dcterms:modified>
</cp:coreProperties>
</file>