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6F" w:rsidRPr="009E5932" w:rsidRDefault="00982B6F" w:rsidP="00982B6F">
      <w:pPr>
        <w:pStyle w:val="Sansinterligne"/>
        <w:jc w:val="both"/>
        <w:rPr>
          <w:b/>
          <w:bCs/>
          <w:sz w:val="20"/>
          <w:szCs w:val="20"/>
        </w:rPr>
      </w:pPr>
      <w:r w:rsidRPr="009E5932">
        <w:rPr>
          <w:b/>
          <w:bCs/>
          <w:sz w:val="20"/>
          <w:szCs w:val="20"/>
        </w:rPr>
        <w:t>Université Mohammed-</w:t>
      </w:r>
      <w:proofErr w:type="spellStart"/>
      <w:r w:rsidRPr="009E5932">
        <w:rPr>
          <w:b/>
          <w:bCs/>
          <w:sz w:val="20"/>
          <w:szCs w:val="20"/>
        </w:rPr>
        <w:t>Seddik</w:t>
      </w:r>
      <w:proofErr w:type="spellEnd"/>
      <w:r w:rsidRPr="009E5932">
        <w:rPr>
          <w:b/>
          <w:bCs/>
          <w:sz w:val="20"/>
          <w:szCs w:val="20"/>
        </w:rPr>
        <w:t xml:space="preserve"> Ben Yahia</w:t>
      </w:r>
    </w:p>
    <w:p w:rsidR="00982B6F" w:rsidRPr="009E5932" w:rsidRDefault="00982B6F" w:rsidP="00982B6F">
      <w:pPr>
        <w:pStyle w:val="Sansinterligne"/>
        <w:jc w:val="both"/>
        <w:rPr>
          <w:b/>
          <w:bCs/>
          <w:sz w:val="20"/>
          <w:szCs w:val="20"/>
        </w:rPr>
      </w:pPr>
      <w:r w:rsidRPr="009E5932">
        <w:rPr>
          <w:b/>
          <w:bCs/>
          <w:sz w:val="20"/>
          <w:szCs w:val="20"/>
        </w:rPr>
        <w:t>Faculté des Sciences de la Nature &amp; de la Vie</w:t>
      </w:r>
    </w:p>
    <w:p w:rsidR="00982B6F" w:rsidRPr="009E5932" w:rsidRDefault="00982B6F" w:rsidP="00982B6F">
      <w:pPr>
        <w:pStyle w:val="Sansinterligne"/>
        <w:jc w:val="both"/>
        <w:rPr>
          <w:sz w:val="20"/>
          <w:szCs w:val="20"/>
        </w:rPr>
      </w:pPr>
      <w:r w:rsidRPr="009E5932">
        <w:rPr>
          <w:b/>
          <w:bCs/>
          <w:sz w:val="20"/>
          <w:szCs w:val="20"/>
        </w:rPr>
        <w:t>Département de l’Enseignement Fondamental</w:t>
      </w:r>
    </w:p>
    <w:p w:rsidR="00982B6F" w:rsidRPr="009E5932" w:rsidRDefault="00982B6F" w:rsidP="00982B6F">
      <w:pPr>
        <w:pStyle w:val="Sansinterligne"/>
        <w:jc w:val="both"/>
        <w:rPr>
          <w:sz w:val="20"/>
          <w:szCs w:val="20"/>
        </w:rPr>
      </w:pPr>
      <w:r w:rsidRPr="009E5932">
        <w:rPr>
          <w:b/>
          <w:bCs/>
          <w:sz w:val="20"/>
          <w:szCs w:val="20"/>
        </w:rPr>
        <w:t>Module :</w:t>
      </w:r>
      <w:r>
        <w:rPr>
          <w:sz w:val="20"/>
          <w:szCs w:val="20"/>
        </w:rPr>
        <w:t xml:space="preserve"> </w:t>
      </w:r>
      <w:r w:rsidRPr="009E5932">
        <w:rPr>
          <w:i/>
          <w:iCs/>
          <w:sz w:val="20"/>
          <w:szCs w:val="20"/>
        </w:rPr>
        <w:t>Méthodes d’étude et d’inventaire de la flore &amp; de la faune</w:t>
      </w:r>
      <w:r>
        <w:rPr>
          <w:sz w:val="20"/>
          <w:szCs w:val="20"/>
        </w:rPr>
        <w:t xml:space="preserve"> </w:t>
      </w:r>
    </w:p>
    <w:p w:rsidR="00982B6F" w:rsidRDefault="00982B6F" w:rsidP="00982B6F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5395D" wp14:editId="3E868D03">
                <wp:simplePos x="0" y="0"/>
                <wp:positionH relativeFrom="column">
                  <wp:posOffset>-2540</wp:posOffset>
                </wp:positionH>
                <wp:positionV relativeFrom="paragraph">
                  <wp:posOffset>100379</wp:posOffset>
                </wp:positionV>
                <wp:extent cx="6246056" cy="0"/>
                <wp:effectExtent l="0" t="0" r="40640" b="571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05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lgDashDotDot"/>
                          <a:miter lim="800000"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3FB44" id="Connecteur droit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.9pt" to="491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" strokecolor="#262626" strokeweight="1.5pt">
                <v:stroke dashstyle="longDashDotDot" joinstyle="miter"/>
              </v:line>
            </w:pict>
          </mc:Fallback>
        </mc:AlternateContent>
      </w:r>
    </w:p>
    <w:p w:rsidR="00F85309" w:rsidRDefault="00982B6F" w:rsidP="00966AA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TD n°02</w:t>
      </w:r>
    </w:p>
    <w:p w:rsidR="00876C4F" w:rsidRDefault="00876C4F" w:rsidP="00357751">
      <w:pPr>
        <w:spacing w:after="0"/>
        <w:jc w:val="center"/>
      </w:pPr>
    </w:p>
    <w:p w:rsidR="00F85309" w:rsidRPr="00F85309" w:rsidRDefault="00F85309" w:rsidP="00F85309">
      <w:pPr>
        <w:pStyle w:val="Default"/>
        <w:jc w:val="both"/>
        <w:rPr>
          <w:sz w:val="20"/>
          <w:szCs w:val="20"/>
        </w:rPr>
      </w:pPr>
      <w:r w:rsidRPr="00F85309">
        <w:rPr>
          <w:b/>
          <w:bCs/>
          <w:sz w:val="20"/>
          <w:szCs w:val="20"/>
        </w:rPr>
        <w:t xml:space="preserve">I. Exploitation des résultats par Les indices écologiques </w:t>
      </w:r>
    </w:p>
    <w:p w:rsidR="00F85309" w:rsidRDefault="00F85309" w:rsidP="00F85309">
      <w:pPr>
        <w:jc w:val="both"/>
        <w:rPr>
          <w:sz w:val="20"/>
          <w:szCs w:val="20"/>
        </w:rPr>
      </w:pPr>
      <w:r w:rsidRPr="00F85309">
        <w:rPr>
          <w:sz w:val="20"/>
          <w:szCs w:val="20"/>
        </w:rPr>
        <w:t>Les peuplements qui constituent une biocénose peuvent se définir par des descripteurs qui prennent en considération l’importance numérique des espèces qu’ils comportent. Il sera possible de décrire la biocénose à l’aide de paramètres telle que la richesse spécifique, l’abondance, la dominance et la diversité etc.</w:t>
      </w:r>
    </w:p>
    <w:p w:rsidR="00F85309" w:rsidRPr="00F85309" w:rsidRDefault="00F85309" w:rsidP="00F85309">
      <w:pPr>
        <w:jc w:val="both"/>
        <w:rPr>
          <w:sz w:val="20"/>
          <w:szCs w:val="20"/>
        </w:rPr>
      </w:pPr>
      <w:r w:rsidRPr="00F85309">
        <w:rPr>
          <w:b/>
          <w:bCs/>
          <w:sz w:val="20"/>
          <w:szCs w:val="20"/>
        </w:rPr>
        <w:t xml:space="preserve">I.1. Qualité de l’échantillonnage </w:t>
      </w:r>
    </w:p>
    <w:p w:rsidR="00F85309" w:rsidRDefault="00F85309" w:rsidP="00F85309">
      <w:pPr>
        <w:jc w:val="both"/>
        <w:rPr>
          <w:sz w:val="20"/>
          <w:szCs w:val="20"/>
        </w:rPr>
      </w:pPr>
      <w:r w:rsidRPr="00F85309">
        <w:rPr>
          <w:sz w:val="20"/>
          <w:szCs w:val="20"/>
        </w:rPr>
        <w:t xml:space="preserve">La qualité d’échantillonnage est donnée par la formule suivante : </w:t>
      </w:r>
    </w:p>
    <w:p w:rsidR="00F85309" w:rsidRPr="00F85309" w:rsidRDefault="00F85309" w:rsidP="00F85309">
      <w:pPr>
        <w:jc w:val="center"/>
        <w:rPr>
          <w:sz w:val="24"/>
          <w:szCs w:val="24"/>
        </w:rPr>
      </w:pPr>
      <w:r w:rsidRPr="00F85309">
        <w:rPr>
          <w:rFonts w:ascii="Cambria Math" w:hAnsi="Cambria Math" w:cs="Cambria Math"/>
          <w:sz w:val="24"/>
          <w:szCs w:val="24"/>
        </w:rPr>
        <w:t>𝑸</w:t>
      </w:r>
      <w:r w:rsidRPr="00F85309">
        <w:rPr>
          <w:sz w:val="24"/>
          <w:szCs w:val="24"/>
        </w:rPr>
        <w:t>=</w:t>
      </w:r>
      <w:r w:rsidRPr="00F85309">
        <w:rPr>
          <w:rFonts w:ascii="Cambria Math" w:hAnsi="Cambria Math" w:cs="Cambria Math"/>
          <w:sz w:val="24"/>
          <w:szCs w:val="24"/>
        </w:rPr>
        <w:t>𝒂/𝑵</w:t>
      </w:r>
    </w:p>
    <w:p w:rsidR="00F85309" w:rsidRPr="00F85309" w:rsidRDefault="00F85309" w:rsidP="00F85309">
      <w:pPr>
        <w:ind w:left="284" w:hanging="284"/>
        <w:jc w:val="both"/>
        <w:rPr>
          <w:sz w:val="20"/>
          <w:szCs w:val="20"/>
        </w:rPr>
      </w:pPr>
      <w:proofErr w:type="gramStart"/>
      <w:r w:rsidRPr="00F85309">
        <w:rPr>
          <w:b/>
          <w:bCs/>
          <w:sz w:val="20"/>
          <w:szCs w:val="20"/>
        </w:rPr>
        <w:t>a</w:t>
      </w:r>
      <w:proofErr w:type="gramEnd"/>
      <w:r w:rsidRPr="00F85309">
        <w:rPr>
          <w:b/>
          <w:bCs/>
          <w:sz w:val="20"/>
          <w:szCs w:val="20"/>
        </w:rPr>
        <w:t xml:space="preserve"> : </w:t>
      </w:r>
      <w:r w:rsidRPr="00F85309">
        <w:rPr>
          <w:sz w:val="20"/>
          <w:szCs w:val="20"/>
        </w:rPr>
        <w:t>est le nombre des espèces de fréquence 1 (désigne le nombre des espèces vues une seule fois en</w:t>
      </w:r>
      <w:r>
        <w:rPr>
          <w:sz w:val="20"/>
          <w:szCs w:val="20"/>
        </w:rPr>
        <w:t xml:space="preserve"> </w:t>
      </w:r>
      <w:r w:rsidRPr="00F85309">
        <w:rPr>
          <w:sz w:val="20"/>
          <w:szCs w:val="20"/>
        </w:rPr>
        <w:t xml:space="preserve">un seul exemplaire au cours de tout la période d'étude.) </w:t>
      </w:r>
    </w:p>
    <w:p w:rsidR="00F85309" w:rsidRPr="00F85309" w:rsidRDefault="00F85309" w:rsidP="00F85309">
      <w:pPr>
        <w:jc w:val="both"/>
        <w:rPr>
          <w:sz w:val="20"/>
          <w:szCs w:val="20"/>
        </w:rPr>
      </w:pPr>
      <w:r w:rsidRPr="00F85309">
        <w:rPr>
          <w:b/>
          <w:bCs/>
          <w:sz w:val="20"/>
          <w:szCs w:val="20"/>
        </w:rPr>
        <w:t>N :</w:t>
      </w:r>
      <w:r w:rsidRPr="00F85309">
        <w:rPr>
          <w:sz w:val="20"/>
          <w:szCs w:val="20"/>
        </w:rPr>
        <w:t xml:space="preserve"> est le nombre de relevés. </w:t>
      </w:r>
    </w:p>
    <w:p w:rsidR="00F85309" w:rsidRDefault="00F85309" w:rsidP="00F85309">
      <w:pPr>
        <w:jc w:val="both"/>
        <w:rPr>
          <w:sz w:val="20"/>
          <w:szCs w:val="20"/>
        </w:rPr>
      </w:pPr>
      <w:r w:rsidRPr="00F85309">
        <w:rPr>
          <w:sz w:val="20"/>
          <w:szCs w:val="20"/>
        </w:rPr>
        <w:t>Il met en évidence un manque à gagner. Il permet de savoir si la qualité de l’échantillonnage est bonne.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b/>
          <w:bCs/>
          <w:sz w:val="20"/>
          <w:szCs w:val="20"/>
        </w:rPr>
        <w:t xml:space="preserve">I.2. les indices écologiques de composition 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b/>
          <w:bCs/>
          <w:sz w:val="20"/>
          <w:szCs w:val="20"/>
        </w:rPr>
        <w:t xml:space="preserve">I.2.1. Richesse spécifique </w:t>
      </w:r>
      <w:r w:rsidRPr="00360E21">
        <w:rPr>
          <w:sz w:val="20"/>
          <w:szCs w:val="20"/>
        </w:rPr>
        <w:t xml:space="preserve">(= diversité spécifique) : nombre d’espèces d’un groupe systématique donné dans un écosystème déterminé. 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b/>
          <w:bCs/>
          <w:sz w:val="20"/>
          <w:szCs w:val="20"/>
        </w:rPr>
        <w:t xml:space="preserve">I.2.1.1. Richesse spécifique totale (S) 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sz w:val="20"/>
          <w:szCs w:val="20"/>
        </w:rPr>
        <w:t>La richesse spécifique totale est le nombre d’espèces contactées au moins une seule fois au terme de N relevés effectués. Elle permet de déterminer l’importance numérique des espèces présentes</w:t>
      </w:r>
      <w:r>
        <w:rPr>
          <w:sz w:val="20"/>
          <w:szCs w:val="20"/>
        </w:rPr>
        <w:t xml:space="preserve">. </w:t>
      </w:r>
      <w:r w:rsidRPr="00360E21">
        <w:rPr>
          <w:sz w:val="20"/>
          <w:szCs w:val="20"/>
        </w:rPr>
        <w:t>Selon RAMADE</w:t>
      </w:r>
      <w:r w:rsidRPr="00360E21">
        <w:rPr>
          <w:b/>
          <w:bCs/>
          <w:sz w:val="20"/>
          <w:szCs w:val="20"/>
        </w:rPr>
        <w:t xml:space="preserve"> </w:t>
      </w:r>
      <w:r w:rsidRPr="00360E21">
        <w:rPr>
          <w:sz w:val="20"/>
          <w:szCs w:val="20"/>
        </w:rPr>
        <w:t xml:space="preserve">(1984), la richesse totale (S) est le nombre des espèces présentes dans un écosystème. 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b/>
          <w:bCs/>
          <w:sz w:val="20"/>
          <w:szCs w:val="20"/>
        </w:rPr>
        <w:t>I.2.1.2. Richesse moyenne (</w:t>
      </w:r>
      <w:proofErr w:type="spellStart"/>
      <w:r w:rsidRPr="00360E21">
        <w:rPr>
          <w:b/>
          <w:bCs/>
          <w:sz w:val="20"/>
          <w:szCs w:val="20"/>
        </w:rPr>
        <w:t>S</w:t>
      </w:r>
      <w:r w:rsidRPr="00360E21">
        <w:rPr>
          <w:b/>
          <w:bCs/>
          <w:sz w:val="20"/>
          <w:szCs w:val="20"/>
          <w:vertAlign w:val="subscript"/>
        </w:rPr>
        <w:t>m</w:t>
      </w:r>
      <w:proofErr w:type="spellEnd"/>
      <w:r w:rsidRPr="00360E21">
        <w:rPr>
          <w:b/>
          <w:bCs/>
          <w:sz w:val="20"/>
          <w:szCs w:val="20"/>
        </w:rPr>
        <w:t xml:space="preserve">) 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sz w:val="20"/>
          <w:szCs w:val="20"/>
        </w:rPr>
        <w:t xml:space="preserve">La richesse moyenne est le nombre moyen des espèces piégées à chaque relevé. Elle correspond au nombre moyen des espèces présentes dans l'échantillon. Elle permet de calculer l'homogénéité du peuplement. </w:t>
      </w:r>
    </w:p>
    <w:p w:rsidR="00B73F24" w:rsidRDefault="00367066" w:rsidP="00360E21">
      <w:pPr>
        <w:jc w:val="center"/>
        <w:rPr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:rsidR="00360E21" w:rsidRPr="00360E21" w:rsidRDefault="00360E21" w:rsidP="00360E21">
      <w:pPr>
        <w:jc w:val="both"/>
        <w:rPr>
          <w:sz w:val="20"/>
          <w:szCs w:val="20"/>
        </w:rPr>
      </w:pPr>
      <w:proofErr w:type="spellStart"/>
      <w:r w:rsidRPr="00360E21">
        <w:rPr>
          <w:b/>
          <w:bCs/>
          <w:sz w:val="20"/>
          <w:szCs w:val="20"/>
        </w:rPr>
        <w:t>S</w:t>
      </w:r>
      <w:r w:rsidRPr="00360E21">
        <w:rPr>
          <w:b/>
          <w:bCs/>
          <w:sz w:val="20"/>
          <w:szCs w:val="20"/>
          <w:vertAlign w:val="subscript"/>
        </w:rPr>
        <w:t>m</w:t>
      </w:r>
      <w:proofErr w:type="spellEnd"/>
      <w:r w:rsidRPr="00360E21">
        <w:rPr>
          <w:b/>
          <w:bCs/>
          <w:sz w:val="20"/>
          <w:szCs w:val="20"/>
        </w:rPr>
        <w:t xml:space="preserve"> : </w:t>
      </w:r>
      <w:r w:rsidRPr="00360E21">
        <w:rPr>
          <w:sz w:val="20"/>
          <w:szCs w:val="20"/>
        </w:rPr>
        <w:t xml:space="preserve">richesse moyenne d'un peuplement 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b/>
          <w:bCs/>
          <w:sz w:val="20"/>
          <w:szCs w:val="20"/>
        </w:rPr>
        <w:t>S</w:t>
      </w:r>
      <w:r w:rsidRPr="00360E21">
        <w:rPr>
          <w:b/>
          <w:bCs/>
          <w:sz w:val="20"/>
          <w:szCs w:val="20"/>
          <w:vertAlign w:val="subscript"/>
        </w:rPr>
        <w:t>i</w:t>
      </w:r>
      <w:r w:rsidRPr="00360E21">
        <w:rPr>
          <w:b/>
          <w:bCs/>
          <w:sz w:val="20"/>
          <w:szCs w:val="20"/>
        </w:rPr>
        <w:t xml:space="preserve"> : </w:t>
      </w:r>
      <w:r w:rsidRPr="00360E21">
        <w:rPr>
          <w:sz w:val="20"/>
          <w:szCs w:val="20"/>
        </w:rPr>
        <w:t>richesse totale observées à chaque relevé</w:t>
      </w:r>
      <w:r w:rsidRPr="00360E21">
        <w:rPr>
          <w:b/>
          <w:bCs/>
          <w:sz w:val="20"/>
          <w:szCs w:val="20"/>
        </w:rPr>
        <w:t xml:space="preserve"> </w:t>
      </w:r>
    </w:p>
    <w:p w:rsidR="00360E21" w:rsidRDefault="00360E21" w:rsidP="00360E21">
      <w:pPr>
        <w:jc w:val="both"/>
        <w:rPr>
          <w:sz w:val="20"/>
          <w:szCs w:val="20"/>
        </w:rPr>
      </w:pPr>
      <w:r w:rsidRPr="00360E21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 </w:t>
      </w:r>
      <w:r w:rsidRPr="00360E21">
        <w:rPr>
          <w:b/>
          <w:bCs/>
          <w:sz w:val="20"/>
          <w:szCs w:val="20"/>
        </w:rPr>
        <w:t xml:space="preserve">: </w:t>
      </w:r>
      <w:r w:rsidRPr="00360E21">
        <w:rPr>
          <w:sz w:val="20"/>
          <w:szCs w:val="20"/>
        </w:rPr>
        <w:t>Nombre de relevés</w:t>
      </w:r>
    </w:p>
    <w:p w:rsidR="00966AA1" w:rsidRPr="00966AA1" w:rsidRDefault="00966AA1" w:rsidP="00966AA1">
      <w:pPr>
        <w:jc w:val="both"/>
        <w:rPr>
          <w:sz w:val="20"/>
          <w:szCs w:val="20"/>
        </w:rPr>
      </w:pPr>
      <w:r w:rsidRPr="00966AA1">
        <w:rPr>
          <w:b/>
          <w:bCs/>
          <w:sz w:val="20"/>
          <w:szCs w:val="20"/>
        </w:rPr>
        <w:t xml:space="preserve">I.2.2. Abondance absolue (Aa) </w:t>
      </w:r>
    </w:p>
    <w:p w:rsidR="00966AA1" w:rsidRPr="00966AA1" w:rsidRDefault="00966AA1" w:rsidP="00966AA1">
      <w:pPr>
        <w:jc w:val="both"/>
        <w:rPr>
          <w:sz w:val="20"/>
          <w:szCs w:val="20"/>
        </w:rPr>
      </w:pPr>
      <w:r w:rsidRPr="00966AA1">
        <w:rPr>
          <w:sz w:val="20"/>
          <w:szCs w:val="20"/>
        </w:rPr>
        <w:t xml:space="preserve">C’est le nombre total d’individus capturés d’une espèce ou d’un groupe d’espèce </w:t>
      </w:r>
    </w:p>
    <w:p w:rsidR="00360E21" w:rsidRDefault="00966AA1" w:rsidP="0077135A">
      <w:pPr>
        <w:jc w:val="both"/>
        <w:rPr>
          <w:sz w:val="20"/>
          <w:szCs w:val="20"/>
        </w:rPr>
      </w:pPr>
      <w:r w:rsidRPr="00966AA1">
        <w:rPr>
          <w:b/>
          <w:bCs/>
          <w:sz w:val="20"/>
          <w:szCs w:val="20"/>
        </w:rPr>
        <w:t>I.2.3. Abondance relative (Ar %) ou La fréquence centésimale</w:t>
      </w:r>
      <w:r>
        <w:rPr>
          <w:b/>
          <w:bCs/>
          <w:sz w:val="20"/>
          <w:szCs w:val="20"/>
        </w:rPr>
        <w:t xml:space="preserve"> (FC) : </w:t>
      </w:r>
      <w:r w:rsidRPr="00966AA1">
        <w:rPr>
          <w:sz w:val="20"/>
          <w:szCs w:val="20"/>
        </w:rPr>
        <w:t>repr</w:t>
      </w:r>
      <w:r>
        <w:rPr>
          <w:sz w:val="20"/>
          <w:szCs w:val="20"/>
        </w:rPr>
        <w:t>ésente l'abondance relative(Ar)</w:t>
      </w:r>
      <w:r w:rsidRPr="00966AA1">
        <w:rPr>
          <w:sz w:val="20"/>
          <w:szCs w:val="20"/>
        </w:rPr>
        <w:t>, encore appelée probabilité d'occurrence de l'espèce i, elle correspond au pourcentage d'individus d'une espèce (</w:t>
      </w:r>
      <w:r w:rsidR="0077135A">
        <w:rPr>
          <w:sz w:val="20"/>
          <w:szCs w:val="20"/>
        </w:rPr>
        <w:t>a</w:t>
      </w:r>
      <w:r w:rsidRPr="00966AA1">
        <w:rPr>
          <w:sz w:val="20"/>
          <w:szCs w:val="20"/>
          <w:vertAlign w:val="subscript"/>
        </w:rPr>
        <w:t>i</w:t>
      </w:r>
      <w:r w:rsidRPr="00966AA1">
        <w:rPr>
          <w:sz w:val="20"/>
          <w:szCs w:val="20"/>
        </w:rPr>
        <w:t>) par rapport au total des individu</w:t>
      </w:r>
      <w:r>
        <w:rPr>
          <w:sz w:val="20"/>
          <w:szCs w:val="20"/>
        </w:rPr>
        <w:t>s recensées (</w:t>
      </w:r>
      <w:r w:rsidR="0077135A">
        <w:rPr>
          <w:sz w:val="20"/>
          <w:szCs w:val="20"/>
        </w:rPr>
        <w:t>A</w:t>
      </w:r>
      <w:r>
        <w:rPr>
          <w:sz w:val="20"/>
          <w:szCs w:val="20"/>
        </w:rPr>
        <w:t>) d'un peuplement</w:t>
      </w:r>
      <w:r w:rsidRPr="00966AA1">
        <w:rPr>
          <w:sz w:val="20"/>
          <w:szCs w:val="20"/>
        </w:rPr>
        <w:t>.</w:t>
      </w:r>
    </w:p>
    <w:p w:rsidR="00966AA1" w:rsidRPr="00966AA1" w:rsidRDefault="00966AA1" w:rsidP="0077135A">
      <w:pPr>
        <w:jc w:val="center"/>
        <w:rPr>
          <w:sz w:val="20"/>
          <w:szCs w:val="20"/>
        </w:rPr>
      </w:pPr>
      <w:proofErr w:type="spellStart"/>
      <w:r w:rsidRPr="00966AA1">
        <w:rPr>
          <w:b/>
          <w:bCs/>
          <w:sz w:val="24"/>
          <w:szCs w:val="24"/>
        </w:rPr>
        <w:t>FC</w:t>
      </w:r>
      <w:r w:rsidR="0077135A" w:rsidRPr="0077135A">
        <w:rPr>
          <w:b/>
          <w:bCs/>
          <w:sz w:val="24"/>
          <w:szCs w:val="24"/>
          <w:vertAlign w:val="subscript"/>
        </w:rPr>
        <w:t>i</w:t>
      </w:r>
      <w:proofErr w:type="spellEnd"/>
      <w:r w:rsidRPr="00966AA1">
        <w:rPr>
          <w:b/>
          <w:bCs/>
          <w:sz w:val="24"/>
          <w:szCs w:val="24"/>
        </w:rPr>
        <w:t xml:space="preserve"> </w:t>
      </w:r>
      <w:r w:rsidRPr="00966AA1">
        <w:rPr>
          <w:sz w:val="24"/>
          <w:szCs w:val="24"/>
        </w:rPr>
        <w:t>=</w:t>
      </w:r>
      <w:r>
        <w:rPr>
          <w:sz w:val="24"/>
          <w:szCs w:val="24"/>
        </w:rPr>
        <w:t xml:space="preserve"> (</w:t>
      </w:r>
      <w:proofErr w:type="spellStart"/>
      <w:r w:rsidR="0077135A">
        <w:rPr>
          <w:rFonts w:ascii="Cambria Math" w:hAnsi="Cambria Math" w:cs="Cambria Math"/>
          <w:sz w:val="24"/>
          <w:szCs w:val="24"/>
        </w:rPr>
        <w:t>a</w:t>
      </w:r>
      <w:proofErr w:type="spellEnd"/>
      <w:r w:rsidRPr="00966AA1">
        <w:rPr>
          <w:rFonts w:ascii="Cambria Math" w:hAnsi="Cambria Math" w:cs="Cambria Math"/>
          <w:sz w:val="24"/>
          <w:szCs w:val="24"/>
          <w:vertAlign w:val="subscript"/>
        </w:rPr>
        <w:t>𝒊</w:t>
      </w:r>
      <w:r>
        <w:rPr>
          <w:sz w:val="24"/>
          <w:szCs w:val="24"/>
        </w:rPr>
        <w:t>/</w:t>
      </w:r>
      <w:r w:rsidRPr="00966AA1">
        <w:rPr>
          <w:rFonts w:cs="Cambria Math"/>
          <w:b/>
          <w:bCs/>
          <w:sz w:val="24"/>
          <w:szCs w:val="24"/>
        </w:rPr>
        <w:t>A</w:t>
      </w:r>
      <w:r>
        <w:rPr>
          <w:rFonts w:ascii="Cambria Math" w:hAnsi="Cambria Math" w:cs="Cambria Math"/>
          <w:sz w:val="24"/>
          <w:szCs w:val="24"/>
        </w:rPr>
        <w:t xml:space="preserve">) </w:t>
      </w:r>
      <w:r w:rsidRPr="00966AA1">
        <w:rPr>
          <w:b/>
          <w:bCs/>
          <w:sz w:val="24"/>
          <w:szCs w:val="24"/>
        </w:rPr>
        <w:t>100</w:t>
      </w:r>
    </w:p>
    <w:p w:rsidR="00966AA1" w:rsidRPr="00966AA1" w:rsidRDefault="00966AA1" w:rsidP="00966AA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</w:t>
      </w:r>
      <w:r w:rsidRPr="00966AA1"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 xml:space="preserve"> </w:t>
      </w:r>
      <w:r w:rsidRPr="00966AA1">
        <w:rPr>
          <w:b/>
          <w:bCs/>
          <w:sz w:val="20"/>
          <w:szCs w:val="20"/>
        </w:rPr>
        <w:t xml:space="preserve">: </w:t>
      </w:r>
      <w:r w:rsidRPr="00966AA1">
        <w:rPr>
          <w:sz w:val="20"/>
          <w:szCs w:val="20"/>
        </w:rPr>
        <w:t>est la fréquence centésim</w:t>
      </w:r>
      <w:r>
        <w:rPr>
          <w:sz w:val="20"/>
          <w:szCs w:val="20"/>
        </w:rPr>
        <w:t>ale des espèces d’un peuplement</w:t>
      </w:r>
      <w:r w:rsidRPr="00966AA1">
        <w:rPr>
          <w:sz w:val="20"/>
          <w:szCs w:val="20"/>
        </w:rPr>
        <w:t xml:space="preserve">. </w:t>
      </w:r>
    </w:p>
    <w:p w:rsidR="00966AA1" w:rsidRPr="00966AA1" w:rsidRDefault="0077135A" w:rsidP="00966AA1">
      <w:pPr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</w:t>
      </w:r>
      <w:r w:rsidR="00966AA1" w:rsidRPr="00966AA1">
        <w:rPr>
          <w:b/>
          <w:bCs/>
          <w:sz w:val="20"/>
          <w:szCs w:val="20"/>
          <w:vertAlign w:val="subscript"/>
        </w:rPr>
        <w:t>i</w:t>
      </w:r>
      <w:proofErr w:type="gramEnd"/>
      <w:r w:rsidR="00966AA1" w:rsidRPr="00966AA1">
        <w:rPr>
          <w:b/>
          <w:bCs/>
          <w:sz w:val="20"/>
          <w:szCs w:val="20"/>
        </w:rPr>
        <w:t xml:space="preserve"> : </w:t>
      </w:r>
      <w:r w:rsidR="00966AA1" w:rsidRPr="00966AA1">
        <w:rPr>
          <w:sz w:val="20"/>
          <w:szCs w:val="20"/>
        </w:rPr>
        <w:t>le nombre des individus de l’</w:t>
      </w:r>
      <w:r w:rsidR="00966AA1">
        <w:rPr>
          <w:sz w:val="20"/>
          <w:szCs w:val="20"/>
        </w:rPr>
        <w:t>espèce i prise en considération</w:t>
      </w:r>
      <w:r w:rsidR="00966AA1" w:rsidRPr="00966AA1">
        <w:rPr>
          <w:sz w:val="20"/>
          <w:szCs w:val="20"/>
        </w:rPr>
        <w:t xml:space="preserve">. </w:t>
      </w:r>
    </w:p>
    <w:p w:rsidR="00966AA1" w:rsidRPr="00966AA1" w:rsidRDefault="00966AA1" w:rsidP="00966AA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</w:t>
      </w:r>
      <w:r w:rsidRPr="00966AA1">
        <w:rPr>
          <w:b/>
          <w:bCs/>
          <w:sz w:val="20"/>
          <w:szCs w:val="20"/>
        </w:rPr>
        <w:t xml:space="preserve">: </w:t>
      </w:r>
      <w:r w:rsidRPr="00966AA1">
        <w:rPr>
          <w:sz w:val="20"/>
          <w:szCs w:val="20"/>
        </w:rPr>
        <w:t xml:space="preserve">le nombre total des individus toutes espèces confondues. </w:t>
      </w:r>
    </w:p>
    <w:p w:rsidR="00966AA1" w:rsidRDefault="00966AA1" w:rsidP="00966AA1">
      <w:pPr>
        <w:jc w:val="both"/>
        <w:rPr>
          <w:b/>
          <w:bCs/>
          <w:sz w:val="20"/>
          <w:szCs w:val="20"/>
        </w:rPr>
      </w:pPr>
      <w:r w:rsidRPr="00966AA1">
        <w:rPr>
          <w:sz w:val="20"/>
          <w:szCs w:val="20"/>
        </w:rPr>
        <w:t>D’après FAURIE et al (2003) Selon la valeur de l’abondance relative d’une espèce les individus seront classés de la façon suivante :</w:t>
      </w:r>
      <w:r w:rsidRPr="00966AA1">
        <w:rPr>
          <w:b/>
          <w:bCs/>
          <w:sz w:val="20"/>
          <w:szCs w:val="20"/>
        </w:rPr>
        <w:t xml:space="preserve"> </w:t>
      </w:r>
    </w:p>
    <w:p w:rsidR="00966AA1" w:rsidRP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t xml:space="preserve">Si AR% &gt; 75 % alors l'espèce prise en considération est très abondant. </w:t>
      </w:r>
    </w:p>
    <w:p w:rsidR="00966AA1" w:rsidRP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t xml:space="preserve">Si 50 % &lt; AR% &lt; 75 % alors l'espèce prise en considération est abondant. </w:t>
      </w:r>
    </w:p>
    <w:p w:rsidR="00966AA1" w:rsidRP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t xml:space="preserve">Si 25 % &lt; AR% &lt; 50 % alors l'espèce prise en considération est commune. </w:t>
      </w:r>
    </w:p>
    <w:p w:rsidR="00966AA1" w:rsidRP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t xml:space="preserve">Si 5 % &lt; AR% &lt; 25 % alors l'espèce prise en considération est rare. </w:t>
      </w:r>
    </w:p>
    <w:p w:rsid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t>Si AR% &lt; 5% alors l'espèce prise en considération est très rare.</w:t>
      </w:r>
    </w:p>
    <w:p w:rsidR="00357751" w:rsidRDefault="00357751" w:rsidP="00C757D1">
      <w:pPr>
        <w:jc w:val="both"/>
        <w:rPr>
          <w:b/>
          <w:bCs/>
          <w:sz w:val="20"/>
          <w:szCs w:val="20"/>
        </w:rPr>
      </w:pPr>
    </w:p>
    <w:p w:rsidR="00C757D1" w:rsidRPr="00C757D1" w:rsidRDefault="00C757D1" w:rsidP="00C757D1">
      <w:pPr>
        <w:jc w:val="both"/>
        <w:rPr>
          <w:b/>
          <w:bCs/>
          <w:sz w:val="20"/>
          <w:szCs w:val="20"/>
        </w:rPr>
      </w:pPr>
      <w:r w:rsidRPr="00C757D1">
        <w:rPr>
          <w:b/>
          <w:bCs/>
          <w:sz w:val="20"/>
          <w:szCs w:val="20"/>
        </w:rPr>
        <w:t>I.2.4. La Fréquence relative</w:t>
      </w:r>
      <w:r>
        <w:rPr>
          <w:b/>
          <w:bCs/>
          <w:sz w:val="20"/>
          <w:szCs w:val="20"/>
        </w:rPr>
        <w:t xml:space="preserve"> ou La fréquence d’occurrence F</w:t>
      </w:r>
      <w:r w:rsidRPr="00C757D1">
        <w:rPr>
          <w:b/>
          <w:bCs/>
          <w:sz w:val="20"/>
          <w:szCs w:val="20"/>
        </w:rPr>
        <w:t>O ou (Constance) (C %)</w:t>
      </w:r>
    </w:p>
    <w:p w:rsidR="00876C4F" w:rsidRDefault="00C757D1" w:rsidP="00C757D1">
      <w:pPr>
        <w:jc w:val="both"/>
        <w:rPr>
          <w:sz w:val="20"/>
          <w:szCs w:val="20"/>
        </w:rPr>
      </w:pPr>
      <w:r w:rsidRPr="00C757D1">
        <w:rPr>
          <w:sz w:val="20"/>
          <w:szCs w:val="20"/>
        </w:rPr>
        <w:t>La constance désigne en écologie le degré de fréquence avec lequel une espèce d'une biocénose donnée se</w:t>
      </w:r>
      <w:r>
        <w:rPr>
          <w:sz w:val="20"/>
          <w:szCs w:val="20"/>
        </w:rPr>
        <w:t xml:space="preserve"> </w:t>
      </w:r>
      <w:r w:rsidRPr="00C757D1">
        <w:rPr>
          <w:sz w:val="20"/>
          <w:szCs w:val="20"/>
        </w:rPr>
        <w:t>rencontre dans les échantillons de cette dernière.</w:t>
      </w:r>
    </w:p>
    <w:p w:rsidR="00C757D1" w:rsidRPr="00C757D1" w:rsidRDefault="00C757D1" w:rsidP="0077135A">
      <w:pPr>
        <w:jc w:val="center"/>
        <w:rPr>
          <w:sz w:val="20"/>
          <w:szCs w:val="20"/>
        </w:rPr>
      </w:pPr>
      <w:r w:rsidRPr="00C757D1">
        <w:rPr>
          <w:b/>
          <w:bCs/>
          <w:sz w:val="24"/>
          <w:szCs w:val="24"/>
        </w:rPr>
        <w:t xml:space="preserve">FO (%)= </w:t>
      </w:r>
      <w:r>
        <w:rPr>
          <w:b/>
          <w:bCs/>
          <w:sz w:val="24"/>
          <w:szCs w:val="24"/>
        </w:rPr>
        <w:t>(</w:t>
      </w:r>
      <w:r w:rsidR="0077135A">
        <w:rPr>
          <w:b/>
          <w:bCs/>
          <w:sz w:val="24"/>
          <w:szCs w:val="24"/>
        </w:rPr>
        <w:t>n</w:t>
      </w:r>
      <w:r w:rsidRPr="00C757D1">
        <w:rPr>
          <w:b/>
          <w:bCs/>
          <w:sz w:val="24"/>
          <w:szCs w:val="24"/>
          <w:vertAlign w:val="subscript"/>
        </w:rPr>
        <w:t>i</w:t>
      </w:r>
      <w:r w:rsidRPr="00C757D1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N)</w:t>
      </w:r>
      <w:r w:rsidRPr="00C757D1">
        <w:rPr>
          <w:b/>
          <w:bCs/>
          <w:sz w:val="24"/>
          <w:szCs w:val="24"/>
        </w:rPr>
        <w:t xml:space="preserve"> 100</w:t>
      </w:r>
    </w:p>
    <w:p w:rsidR="00C757D1" w:rsidRPr="00C757D1" w:rsidRDefault="0077135A" w:rsidP="00C757D1">
      <w:pPr>
        <w:ind w:left="426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n</w:t>
      </w:r>
      <w:r w:rsidR="00C757D1" w:rsidRPr="00C757D1">
        <w:rPr>
          <w:b/>
          <w:bCs/>
          <w:sz w:val="20"/>
          <w:szCs w:val="20"/>
          <w:vertAlign w:val="subscript"/>
        </w:rPr>
        <w:t>i</w:t>
      </w:r>
      <w:proofErr w:type="gramEnd"/>
      <w:r w:rsidR="00C757D1" w:rsidRPr="00C757D1">
        <w:rPr>
          <w:b/>
          <w:bCs/>
          <w:sz w:val="20"/>
          <w:szCs w:val="20"/>
        </w:rPr>
        <w:t xml:space="preserve"> </w:t>
      </w:r>
      <w:r w:rsidR="00C757D1" w:rsidRPr="00C757D1">
        <w:rPr>
          <w:sz w:val="20"/>
          <w:szCs w:val="20"/>
        </w:rPr>
        <w:t xml:space="preserve">: Nombre de relevés contenant l’espèce i </w:t>
      </w:r>
    </w:p>
    <w:p w:rsidR="00C757D1" w:rsidRPr="00C757D1" w:rsidRDefault="00C757D1" w:rsidP="00C757D1">
      <w:pPr>
        <w:ind w:left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Pr="00C757D1">
        <w:rPr>
          <w:b/>
          <w:bCs/>
          <w:sz w:val="20"/>
          <w:szCs w:val="20"/>
        </w:rPr>
        <w:t xml:space="preserve"> : </w:t>
      </w:r>
      <w:r w:rsidRPr="00C757D1">
        <w:rPr>
          <w:sz w:val="20"/>
          <w:szCs w:val="20"/>
        </w:rPr>
        <w:t xml:space="preserve">Nombre total de relevés. </w:t>
      </w:r>
    </w:p>
    <w:p w:rsidR="00C757D1" w:rsidRDefault="00C757D1" w:rsidP="00C757D1">
      <w:pPr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Selon DAJOZ (1982), En fonction de la valeur de FO on distingue les catégories suivantes :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FO = 100 % l’espèce est omniprésente ;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75 % ≤ Fo &lt; 100 % espèce constante ;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50 % ≤ Fo &lt; 75 % espèce régulière ;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25 % ≤ Fo &lt; 50 % espèce accessoire ;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5 % ≤ Fo &lt; 25 % espèce accidentelle ; </w:t>
      </w:r>
    </w:p>
    <w:p w:rsid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>Fo &lt; 5 % espèce rare.</w:t>
      </w:r>
    </w:p>
    <w:p w:rsidR="003D034B" w:rsidRPr="003D034B" w:rsidRDefault="003D034B" w:rsidP="003D034B">
      <w:pPr>
        <w:jc w:val="both"/>
        <w:rPr>
          <w:b/>
          <w:bCs/>
          <w:sz w:val="20"/>
          <w:szCs w:val="20"/>
        </w:rPr>
      </w:pPr>
      <w:r w:rsidRPr="003D034B">
        <w:rPr>
          <w:b/>
          <w:bCs/>
          <w:sz w:val="20"/>
          <w:szCs w:val="20"/>
        </w:rPr>
        <w:t>I.3. Les indices écologiques de structure</w:t>
      </w:r>
    </w:p>
    <w:p w:rsidR="003D034B" w:rsidRPr="003D034B" w:rsidRDefault="003D034B" w:rsidP="003D034B">
      <w:pPr>
        <w:jc w:val="both"/>
        <w:rPr>
          <w:b/>
          <w:bCs/>
          <w:sz w:val="20"/>
          <w:szCs w:val="20"/>
        </w:rPr>
      </w:pPr>
      <w:r w:rsidRPr="003D034B">
        <w:rPr>
          <w:b/>
          <w:bCs/>
          <w:sz w:val="20"/>
          <w:szCs w:val="20"/>
        </w:rPr>
        <w:t xml:space="preserve">I.3.1. L’indice de diversité de Shannon </w:t>
      </w:r>
      <w:r w:rsidR="00D74ADD">
        <w:rPr>
          <w:b/>
          <w:bCs/>
          <w:sz w:val="20"/>
          <w:szCs w:val="20"/>
        </w:rPr>
        <w:t>–</w:t>
      </w:r>
      <w:r w:rsidRPr="003D034B">
        <w:rPr>
          <w:b/>
          <w:bCs/>
          <w:sz w:val="20"/>
          <w:szCs w:val="20"/>
        </w:rPr>
        <w:t>Weaver</w:t>
      </w:r>
      <w:r w:rsidR="00D74ADD">
        <w:rPr>
          <w:b/>
          <w:bCs/>
          <w:sz w:val="20"/>
          <w:szCs w:val="20"/>
        </w:rPr>
        <w:t xml:space="preserve"> (H’)</w:t>
      </w:r>
    </w:p>
    <w:p w:rsidR="00C757D1" w:rsidRDefault="003D034B" w:rsidP="003D034B">
      <w:pPr>
        <w:spacing w:line="240" w:lineRule="auto"/>
        <w:jc w:val="both"/>
        <w:rPr>
          <w:sz w:val="20"/>
          <w:szCs w:val="20"/>
        </w:rPr>
      </w:pPr>
      <w:r w:rsidRPr="003D034B">
        <w:rPr>
          <w:sz w:val="20"/>
          <w:szCs w:val="20"/>
        </w:rPr>
        <w:t>Elle informe sur la structure du peuplement dont provient l’échantillon et sur la façon dont les individus sont répartis</w:t>
      </w:r>
      <w:r>
        <w:rPr>
          <w:sz w:val="20"/>
          <w:szCs w:val="20"/>
        </w:rPr>
        <w:t xml:space="preserve"> </w:t>
      </w:r>
      <w:r w:rsidRPr="003D034B">
        <w:rPr>
          <w:sz w:val="20"/>
          <w:szCs w:val="20"/>
        </w:rPr>
        <w:t>entre les diverses espèces (DAGET, 1979). L’indice de diversité de Shannon -Weaver est le meilleur indice que l’on</w:t>
      </w:r>
      <w:r>
        <w:rPr>
          <w:sz w:val="20"/>
          <w:szCs w:val="20"/>
        </w:rPr>
        <w:t xml:space="preserve"> </w:t>
      </w:r>
      <w:r w:rsidRPr="003D034B">
        <w:rPr>
          <w:sz w:val="20"/>
          <w:szCs w:val="20"/>
        </w:rPr>
        <w:t xml:space="preserve">puisse adopter. Une communauté est d'autant plus diversifier que si </w:t>
      </w:r>
      <w:r>
        <w:rPr>
          <w:sz w:val="20"/>
          <w:szCs w:val="20"/>
        </w:rPr>
        <w:t>la valeur de H' est plus grande</w:t>
      </w:r>
      <w:r w:rsidRPr="003D034B">
        <w:rPr>
          <w:sz w:val="20"/>
          <w:szCs w:val="20"/>
        </w:rPr>
        <w:t>. Il est donné par</w:t>
      </w:r>
      <w:r>
        <w:rPr>
          <w:sz w:val="20"/>
          <w:szCs w:val="20"/>
        </w:rPr>
        <w:t xml:space="preserve"> </w:t>
      </w:r>
      <w:r w:rsidRPr="003D034B">
        <w:rPr>
          <w:sz w:val="20"/>
          <w:szCs w:val="20"/>
        </w:rPr>
        <w:t>la formule suivante :</w:t>
      </w:r>
    </w:p>
    <w:p w:rsidR="00D74ADD" w:rsidRPr="00D74ADD" w:rsidRDefault="00367066" w:rsidP="00D74ADD">
      <w:pPr>
        <w:spacing w:line="240" w:lineRule="auto"/>
        <w:jc w:val="center"/>
        <w:rPr>
          <w:iCs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="Cambria Math" w:hAnsi="Cambria Math" w:cs="Cambria Math"/>
              <w:sz w:val="24"/>
              <w:szCs w:val="24"/>
            </w:rPr>
            <m:t>=-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</w:rPr>
                <m:t>S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func>
            </m:e>
          </m:nary>
        </m:oMath>
      </m:oMathPara>
    </w:p>
    <w:p w:rsidR="00D74ADD" w:rsidRPr="00D74ADD" w:rsidRDefault="00D74ADD" w:rsidP="00D74ADD">
      <w:pPr>
        <w:jc w:val="both"/>
        <w:rPr>
          <w:sz w:val="20"/>
          <w:szCs w:val="20"/>
        </w:rPr>
      </w:pPr>
    </w:p>
    <w:p w:rsidR="00D74ADD" w:rsidRPr="00D74ADD" w:rsidRDefault="00D74ADD" w:rsidP="00086454">
      <w:pPr>
        <w:jc w:val="both"/>
        <w:rPr>
          <w:sz w:val="20"/>
          <w:szCs w:val="20"/>
        </w:rPr>
      </w:pPr>
      <w:proofErr w:type="gramStart"/>
      <w:r w:rsidRPr="00D74ADD">
        <w:rPr>
          <w:b/>
          <w:bCs/>
          <w:sz w:val="20"/>
          <w:szCs w:val="20"/>
        </w:rPr>
        <w:t>p</w:t>
      </w:r>
      <w:r w:rsidRPr="00D74ADD">
        <w:rPr>
          <w:b/>
          <w:bCs/>
          <w:sz w:val="20"/>
          <w:szCs w:val="20"/>
          <w:vertAlign w:val="subscript"/>
        </w:rPr>
        <w:t>i</w:t>
      </w:r>
      <w:proofErr w:type="gramEnd"/>
      <w:r>
        <w:rPr>
          <w:b/>
          <w:bCs/>
          <w:sz w:val="20"/>
          <w:szCs w:val="20"/>
          <w:vertAlign w:val="subscript"/>
        </w:rPr>
        <w:t> </w:t>
      </w:r>
      <w:r>
        <w:rPr>
          <w:b/>
          <w:bCs/>
          <w:sz w:val="20"/>
          <w:szCs w:val="20"/>
        </w:rPr>
        <w:t>:</w:t>
      </w:r>
      <w:r w:rsidRPr="00D74ADD">
        <w:rPr>
          <w:b/>
          <w:bCs/>
          <w:sz w:val="20"/>
          <w:szCs w:val="20"/>
        </w:rPr>
        <w:t xml:space="preserve"> </w:t>
      </w:r>
      <w:r w:rsidRPr="00D74ADD">
        <w:rPr>
          <w:sz w:val="20"/>
          <w:szCs w:val="20"/>
        </w:rPr>
        <w:t>représente la probabilité de rencontrer l’espèce i</w:t>
      </w: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: </w:t>
      </w:r>
      <w:r w:rsidRPr="00D74ADD">
        <w:rPr>
          <w:b/>
          <w:bCs/>
          <w:sz w:val="20"/>
          <w:szCs w:val="20"/>
        </w:rPr>
        <w:t>p</w:t>
      </w:r>
      <w:r w:rsidRPr="00D74ADD">
        <w:rPr>
          <w:b/>
          <w:bCs/>
          <w:sz w:val="20"/>
          <w:szCs w:val="20"/>
          <w:vertAlign w:val="subscript"/>
        </w:rPr>
        <w:t>i</w:t>
      </w:r>
      <w:r w:rsidRPr="00D74ADD">
        <w:rPr>
          <w:b/>
          <w:bCs/>
          <w:sz w:val="20"/>
          <w:szCs w:val="20"/>
        </w:rPr>
        <w:t xml:space="preserve">= </w:t>
      </w:r>
      <w:r w:rsidR="00086454">
        <w:rPr>
          <w:b/>
          <w:bCs/>
          <w:sz w:val="20"/>
          <w:szCs w:val="20"/>
        </w:rPr>
        <w:t>a</w:t>
      </w:r>
      <w:r w:rsidRPr="00D74ADD">
        <w:rPr>
          <w:b/>
          <w:bCs/>
          <w:sz w:val="20"/>
          <w:szCs w:val="20"/>
          <w:vertAlign w:val="subscript"/>
        </w:rPr>
        <w:t>i</w:t>
      </w:r>
      <w:r w:rsidRPr="00D74ADD">
        <w:rPr>
          <w:b/>
          <w:bCs/>
          <w:sz w:val="20"/>
          <w:szCs w:val="20"/>
        </w:rPr>
        <w:t>/</w:t>
      </w:r>
      <w:r w:rsidR="00086454">
        <w:rPr>
          <w:b/>
          <w:bCs/>
          <w:sz w:val="20"/>
          <w:szCs w:val="20"/>
        </w:rPr>
        <w:t>A</w:t>
      </w:r>
      <w:r w:rsidRPr="00D74ADD">
        <w:rPr>
          <w:b/>
          <w:bCs/>
          <w:sz w:val="20"/>
          <w:szCs w:val="20"/>
        </w:rPr>
        <w:t xml:space="preserve"> </w:t>
      </w:r>
    </w:p>
    <w:p w:rsidR="00D74ADD" w:rsidRPr="00D74ADD" w:rsidRDefault="00086454" w:rsidP="00047EA2">
      <w:pPr>
        <w:ind w:left="426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</w:t>
      </w:r>
      <w:r w:rsidR="00D74ADD" w:rsidRPr="00047EA2">
        <w:rPr>
          <w:b/>
          <w:bCs/>
          <w:sz w:val="20"/>
          <w:szCs w:val="20"/>
          <w:vertAlign w:val="subscript"/>
        </w:rPr>
        <w:t>i</w:t>
      </w:r>
      <w:proofErr w:type="gramEnd"/>
      <w:r w:rsidR="00047EA2">
        <w:rPr>
          <w:b/>
          <w:bCs/>
          <w:sz w:val="20"/>
          <w:szCs w:val="20"/>
        </w:rPr>
        <w:t xml:space="preserve"> : </w:t>
      </w:r>
      <w:r w:rsidR="00D74ADD" w:rsidRPr="00047EA2">
        <w:rPr>
          <w:sz w:val="20"/>
          <w:szCs w:val="20"/>
        </w:rPr>
        <w:t xml:space="preserve">le nombre des individus </w:t>
      </w:r>
      <w:r w:rsidR="00047EA2">
        <w:rPr>
          <w:sz w:val="20"/>
          <w:szCs w:val="20"/>
        </w:rPr>
        <w:t>(l’effectif) de l’espèce i ;</w:t>
      </w:r>
    </w:p>
    <w:p w:rsidR="00D74ADD" w:rsidRPr="00D74ADD" w:rsidRDefault="00086454" w:rsidP="00047EA2">
      <w:pPr>
        <w:ind w:left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047EA2">
        <w:rPr>
          <w:b/>
          <w:bCs/>
          <w:sz w:val="20"/>
          <w:szCs w:val="20"/>
        </w:rPr>
        <w:t xml:space="preserve"> : </w:t>
      </w:r>
      <w:r w:rsidR="00D74ADD" w:rsidRPr="00047EA2">
        <w:rPr>
          <w:sz w:val="20"/>
          <w:szCs w:val="20"/>
        </w:rPr>
        <w:t>le nombre total des individus toutes espèces confondues</w:t>
      </w:r>
      <w:r w:rsidR="00047EA2" w:rsidRPr="00047EA2">
        <w:rPr>
          <w:sz w:val="20"/>
          <w:szCs w:val="20"/>
        </w:rPr>
        <w:t>.</w:t>
      </w:r>
      <w:r w:rsidR="00D74ADD" w:rsidRPr="00D74ADD">
        <w:rPr>
          <w:b/>
          <w:bCs/>
          <w:sz w:val="20"/>
          <w:szCs w:val="20"/>
        </w:rPr>
        <w:t xml:space="preserve"> </w:t>
      </w:r>
    </w:p>
    <w:p w:rsidR="003D034B" w:rsidRDefault="00047EA2" w:rsidP="00047EA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</w:t>
      </w:r>
      <w:r w:rsidR="00D74ADD" w:rsidRPr="00D74ADD">
        <w:rPr>
          <w:b/>
          <w:bCs/>
          <w:sz w:val="20"/>
          <w:szCs w:val="20"/>
        </w:rPr>
        <w:t>og</w:t>
      </w:r>
      <w:r w:rsidR="00D74ADD" w:rsidRPr="00047EA2">
        <w:rPr>
          <w:b/>
          <w:bCs/>
          <w:sz w:val="20"/>
          <w:szCs w:val="20"/>
          <w:vertAlign w:val="subscript"/>
        </w:rPr>
        <w:t>2</w:t>
      </w:r>
      <w:r w:rsidRPr="00047EA2">
        <w:rPr>
          <w:b/>
          <w:bCs/>
          <w:sz w:val="20"/>
          <w:szCs w:val="20"/>
        </w:rPr>
        <w:t xml:space="preserve"> </w:t>
      </w:r>
      <w:r w:rsidRPr="00D74ADD">
        <w:rPr>
          <w:b/>
          <w:bCs/>
          <w:sz w:val="20"/>
          <w:szCs w:val="20"/>
        </w:rPr>
        <w:t>p</w:t>
      </w:r>
      <w:r w:rsidRPr="00D74ADD">
        <w:rPr>
          <w:b/>
          <w:bCs/>
          <w:sz w:val="20"/>
          <w:szCs w:val="20"/>
          <w:vertAlign w:val="subscript"/>
        </w:rPr>
        <w:t>i</w:t>
      </w:r>
      <w:r w:rsidR="00D74ADD" w:rsidRPr="00D74A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= ln</w:t>
      </w:r>
      <w:r w:rsidRPr="00047EA2">
        <w:rPr>
          <w:b/>
          <w:bCs/>
          <w:sz w:val="20"/>
          <w:szCs w:val="20"/>
        </w:rPr>
        <w:t xml:space="preserve"> </w:t>
      </w:r>
      <w:r w:rsidRPr="00D74ADD">
        <w:rPr>
          <w:b/>
          <w:bCs/>
          <w:sz w:val="20"/>
          <w:szCs w:val="20"/>
        </w:rPr>
        <w:t>p</w:t>
      </w:r>
      <w:r w:rsidRPr="00D74ADD">
        <w:rPr>
          <w:b/>
          <w:bCs/>
          <w:sz w:val="20"/>
          <w:szCs w:val="20"/>
          <w:vertAlign w:val="subscript"/>
        </w:rPr>
        <w:t>i</w:t>
      </w:r>
      <w:r w:rsidRPr="00047EA2">
        <w:rPr>
          <w:b/>
          <w:bCs/>
          <w:sz w:val="20"/>
          <w:szCs w:val="20"/>
        </w:rPr>
        <w:t>/ln 2</w:t>
      </w:r>
    </w:p>
    <w:p w:rsidR="0077135A" w:rsidRDefault="0077135A" w:rsidP="001B2DF6">
      <w:pPr>
        <w:jc w:val="both"/>
        <w:rPr>
          <w:b/>
          <w:bCs/>
          <w:sz w:val="20"/>
          <w:szCs w:val="20"/>
        </w:rPr>
      </w:pPr>
    </w:p>
    <w:p w:rsidR="0077135A" w:rsidRDefault="0077135A" w:rsidP="001B2DF6">
      <w:pPr>
        <w:jc w:val="both"/>
        <w:rPr>
          <w:b/>
          <w:bCs/>
          <w:sz w:val="20"/>
          <w:szCs w:val="20"/>
        </w:rPr>
      </w:pP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b/>
          <w:bCs/>
          <w:sz w:val="20"/>
          <w:szCs w:val="20"/>
        </w:rPr>
        <w:lastRenderedPageBreak/>
        <w:t>I.3.2. La diversité maximale</w:t>
      </w:r>
      <w:r w:rsidRPr="001B2DF6">
        <w:rPr>
          <w:sz w:val="20"/>
          <w:szCs w:val="20"/>
        </w:rPr>
        <w:t xml:space="preserve"> 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 xml:space="preserve">La diversité maximale ou théorique correspond à la valeur la plus élevée possible de la diversité du peuplement. Elle est représentée par </w:t>
      </w:r>
      <w:r w:rsidRPr="001B2DF6">
        <w:rPr>
          <w:b/>
          <w:bCs/>
          <w:sz w:val="20"/>
          <w:szCs w:val="20"/>
        </w:rPr>
        <w:t>H’</w:t>
      </w:r>
      <w:r w:rsidRPr="001B2DF6">
        <w:rPr>
          <w:b/>
          <w:bCs/>
          <w:sz w:val="20"/>
          <w:szCs w:val="20"/>
          <w:vertAlign w:val="subscript"/>
        </w:rPr>
        <w:t>max</w:t>
      </w:r>
      <w:r w:rsidRPr="001B2DF6">
        <w:rPr>
          <w:sz w:val="20"/>
          <w:szCs w:val="20"/>
        </w:rPr>
        <w:t xml:space="preserve">. Elle calculé par la formule suivante : </w:t>
      </w:r>
    </w:p>
    <w:p w:rsidR="001B2DF6" w:rsidRPr="001B2DF6" w:rsidRDefault="001B2DF6" w:rsidP="001B2DF6">
      <w:pPr>
        <w:jc w:val="center"/>
        <w:rPr>
          <w:sz w:val="24"/>
          <w:szCs w:val="24"/>
        </w:rPr>
      </w:pPr>
      <w:r w:rsidRPr="001B2DF6">
        <w:rPr>
          <w:b/>
          <w:bCs/>
          <w:sz w:val="24"/>
          <w:szCs w:val="24"/>
        </w:rPr>
        <w:t>H′</w:t>
      </w:r>
      <w:r w:rsidRPr="001B2DF6">
        <w:rPr>
          <w:b/>
          <w:bCs/>
          <w:sz w:val="24"/>
          <w:szCs w:val="24"/>
          <w:vertAlign w:val="subscript"/>
        </w:rPr>
        <w:t>max</w:t>
      </w:r>
      <w:r w:rsidRPr="001B2DF6">
        <w:rPr>
          <w:b/>
          <w:bCs/>
          <w:sz w:val="24"/>
          <w:szCs w:val="24"/>
        </w:rPr>
        <w:t xml:space="preserve"> = Log</w:t>
      </w:r>
      <w:r w:rsidRPr="001B2DF6">
        <w:rPr>
          <w:b/>
          <w:bCs/>
          <w:sz w:val="24"/>
          <w:szCs w:val="24"/>
          <w:vertAlign w:val="subscript"/>
        </w:rPr>
        <w:t>2</w:t>
      </w:r>
      <w:r w:rsidRPr="001B2DF6">
        <w:rPr>
          <w:b/>
          <w:bCs/>
          <w:sz w:val="24"/>
          <w:szCs w:val="24"/>
        </w:rPr>
        <w:t>S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 :</w:t>
      </w:r>
      <w:r w:rsidRPr="001B2DF6">
        <w:rPr>
          <w:b/>
          <w:bCs/>
          <w:sz w:val="20"/>
          <w:szCs w:val="20"/>
        </w:rPr>
        <w:t xml:space="preserve"> </w:t>
      </w:r>
      <w:r w:rsidRPr="001B2DF6">
        <w:rPr>
          <w:sz w:val="20"/>
          <w:szCs w:val="20"/>
        </w:rPr>
        <w:t>le nombre total des espèces trouvées lors de N relevé</w:t>
      </w:r>
      <w:r w:rsidRPr="001B2DF6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</w:t>
      </w:r>
      <w:r w:rsidRPr="001B2DF6">
        <w:rPr>
          <w:sz w:val="20"/>
          <w:szCs w:val="20"/>
        </w:rPr>
        <w:t xml:space="preserve">(Richesse totale). 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b/>
          <w:bCs/>
          <w:sz w:val="20"/>
          <w:szCs w:val="20"/>
        </w:rPr>
        <w:t>I.3.3. L’indice d’</w:t>
      </w:r>
      <w:proofErr w:type="spellStart"/>
      <w:r w:rsidRPr="001B2DF6">
        <w:rPr>
          <w:b/>
          <w:bCs/>
          <w:sz w:val="20"/>
          <w:szCs w:val="20"/>
        </w:rPr>
        <w:t>équirépartition</w:t>
      </w:r>
      <w:proofErr w:type="spellEnd"/>
      <w:r w:rsidRPr="001B2DF6">
        <w:rPr>
          <w:b/>
          <w:bCs/>
          <w:sz w:val="20"/>
          <w:szCs w:val="20"/>
        </w:rPr>
        <w:t xml:space="preserve"> ou l'</w:t>
      </w:r>
      <w:proofErr w:type="spellStart"/>
      <w:r w:rsidRPr="001B2DF6">
        <w:rPr>
          <w:b/>
          <w:bCs/>
          <w:sz w:val="20"/>
          <w:szCs w:val="20"/>
        </w:rPr>
        <w:t>équitabi</w:t>
      </w:r>
      <w:r>
        <w:rPr>
          <w:b/>
          <w:bCs/>
          <w:sz w:val="20"/>
          <w:szCs w:val="20"/>
        </w:rPr>
        <w:t>lité</w:t>
      </w:r>
      <w:proofErr w:type="spellEnd"/>
      <w:r>
        <w:rPr>
          <w:b/>
          <w:bCs/>
          <w:sz w:val="20"/>
          <w:szCs w:val="20"/>
        </w:rPr>
        <w:t xml:space="preserve"> (E)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>L’</w:t>
      </w:r>
      <w:proofErr w:type="spellStart"/>
      <w:r w:rsidRPr="001B2DF6">
        <w:rPr>
          <w:sz w:val="20"/>
          <w:szCs w:val="20"/>
        </w:rPr>
        <w:t>équirépartion</w:t>
      </w:r>
      <w:proofErr w:type="spellEnd"/>
      <w:r w:rsidRPr="001B2DF6">
        <w:rPr>
          <w:sz w:val="20"/>
          <w:szCs w:val="20"/>
        </w:rPr>
        <w:t xml:space="preserve"> est très importante dans la caractérisation de la diversité. Elle permet la comparaison entre deux peuplements ayant des richesses spécifiques différentes. On définit l’</w:t>
      </w:r>
      <w:proofErr w:type="spellStart"/>
      <w:r w:rsidRPr="001B2DF6">
        <w:rPr>
          <w:sz w:val="20"/>
          <w:szCs w:val="20"/>
        </w:rPr>
        <w:t>équitabilité</w:t>
      </w:r>
      <w:proofErr w:type="spellEnd"/>
      <w:r w:rsidRPr="001B2DF6">
        <w:rPr>
          <w:sz w:val="20"/>
          <w:szCs w:val="20"/>
        </w:rPr>
        <w:t xml:space="preserve"> par le rapport de la diversité observée </w:t>
      </w:r>
      <w:r w:rsidRPr="001B2DF6">
        <w:rPr>
          <w:b/>
          <w:bCs/>
          <w:sz w:val="20"/>
          <w:szCs w:val="20"/>
        </w:rPr>
        <w:t xml:space="preserve">H′ </w:t>
      </w:r>
      <w:r w:rsidRPr="001B2DF6">
        <w:rPr>
          <w:sz w:val="20"/>
          <w:szCs w:val="20"/>
        </w:rPr>
        <w:t xml:space="preserve">à la diversité maximale </w:t>
      </w:r>
      <w:r w:rsidRPr="001B2DF6">
        <w:rPr>
          <w:b/>
          <w:bCs/>
          <w:sz w:val="20"/>
          <w:szCs w:val="20"/>
        </w:rPr>
        <w:t>H′</w:t>
      </w:r>
      <w:r w:rsidRPr="001B2DF6">
        <w:rPr>
          <w:b/>
          <w:bCs/>
          <w:sz w:val="20"/>
          <w:szCs w:val="20"/>
          <w:vertAlign w:val="subscript"/>
        </w:rPr>
        <w:t>max</w:t>
      </w:r>
      <w:r w:rsidRPr="001B2DF6">
        <w:rPr>
          <w:sz w:val="20"/>
          <w:szCs w:val="20"/>
        </w:rPr>
        <w:t xml:space="preserve">. 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b/>
          <w:bCs/>
          <w:sz w:val="20"/>
          <w:szCs w:val="20"/>
        </w:rPr>
        <w:t xml:space="preserve">E : varie entre 0 et 1 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 xml:space="preserve">Elle tend vers 0 quand la quasi-totalité des effectifs correspond à une seule espèce du peuplement (cela traduit un déséquilibre entre les effectifs de différentes espèces de la population prise en considération. C'est à dire lorsqu’une espèce domine largement) et tend vers 1 lorsque chacune des espèces et représentée par le même nombre d’individus. Cela explique une tendance vers l’équilibre entre les effectifs des différentes espèces. (Toutes les espèces ont la même abondance). 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 xml:space="preserve">De plus, une valeur de E proche de 1 signifie que l’espace écologique est plein. Le milieu apporte les conditions nécessaires au bon développement des espèces. Il n’y a pas d’espèces prédominantes, la Compétition alimentaire est équilibrée. Une valeur proche de 0 indique un déséquilibre dans la distribution taxonomique. Le milieu est plus favorable au développement de certaines espèces pouvant être préjudiciables à d’autres. </w:t>
      </w:r>
    </w:p>
    <w:p w:rsidR="001B2DF6" w:rsidRDefault="001B2DF6" w:rsidP="001B2DF6">
      <w:pPr>
        <w:jc w:val="center"/>
        <w:rPr>
          <w:b/>
          <w:bCs/>
          <w:sz w:val="24"/>
          <w:szCs w:val="24"/>
          <w:vertAlign w:val="subscript"/>
        </w:rPr>
      </w:pPr>
      <w:r w:rsidRPr="001B2DF6">
        <w:rPr>
          <w:b/>
          <w:bCs/>
          <w:sz w:val="24"/>
          <w:szCs w:val="24"/>
        </w:rPr>
        <w:t>E = H’/ H’</w:t>
      </w:r>
      <w:r w:rsidRPr="001B2DF6">
        <w:rPr>
          <w:b/>
          <w:bCs/>
          <w:sz w:val="24"/>
          <w:szCs w:val="24"/>
          <w:vertAlign w:val="subscript"/>
        </w:rPr>
        <w:t>max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1.3.4. </w:t>
      </w:r>
      <w:r w:rsidRPr="001B2DF6">
        <w:rPr>
          <w:b/>
          <w:bCs/>
          <w:sz w:val="20"/>
          <w:szCs w:val="20"/>
        </w:rPr>
        <w:t>Indice de similitude (</w:t>
      </w:r>
      <w:r>
        <w:rPr>
          <w:b/>
          <w:bCs/>
          <w:sz w:val="20"/>
          <w:szCs w:val="20"/>
        </w:rPr>
        <w:t>indice de Jaccard</w:t>
      </w:r>
      <w:r w:rsidRPr="001B2DF6">
        <w:rPr>
          <w:b/>
          <w:bCs/>
          <w:sz w:val="20"/>
          <w:szCs w:val="20"/>
        </w:rPr>
        <w:t xml:space="preserve">) </w:t>
      </w:r>
    </w:p>
    <w:p w:rsid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 xml:space="preserve">D'après le botaniste suisse </w:t>
      </w:r>
      <w:r w:rsidRPr="001B2DF6">
        <w:rPr>
          <w:b/>
          <w:bCs/>
          <w:sz w:val="20"/>
          <w:szCs w:val="20"/>
        </w:rPr>
        <w:t xml:space="preserve">Paul Jaccard. </w:t>
      </w:r>
      <w:r w:rsidRPr="001B2DF6">
        <w:rPr>
          <w:sz w:val="20"/>
          <w:szCs w:val="20"/>
        </w:rPr>
        <w:t>Afin de comparer les peuplements à travers plusieurs stations, nous utilisons le coefficient</w:t>
      </w:r>
      <w:r>
        <w:rPr>
          <w:sz w:val="20"/>
          <w:szCs w:val="20"/>
        </w:rPr>
        <w:t xml:space="preserve"> de similitude de Jacquard (</w:t>
      </w:r>
      <w:proofErr w:type="spellStart"/>
      <w:r w:rsidRPr="001B2DF6">
        <w:rPr>
          <w:sz w:val="24"/>
          <w:szCs w:val="24"/>
        </w:rPr>
        <w:t>ϕ</w:t>
      </w:r>
      <w:r w:rsidRPr="001B2DF6">
        <w:rPr>
          <w:sz w:val="24"/>
          <w:szCs w:val="24"/>
          <w:vertAlign w:val="subscript"/>
        </w:rPr>
        <w:t>ij</w:t>
      </w:r>
      <w:proofErr w:type="spellEnd"/>
      <w:r>
        <w:rPr>
          <w:sz w:val="20"/>
          <w:szCs w:val="20"/>
        </w:rPr>
        <w:t>)</w:t>
      </w:r>
      <w:r w:rsidRPr="001B2DF6">
        <w:rPr>
          <w:sz w:val="20"/>
          <w:szCs w:val="20"/>
        </w:rPr>
        <w:t>. Ce dernier ne tient compte que de la présence ou l’absence des espèces. Ce coefficient s’obtient par la formule suivante :</w:t>
      </w:r>
    </w:p>
    <w:p w:rsidR="003B408B" w:rsidRDefault="00367066" w:rsidP="003B408B">
      <w:pPr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Cambria Math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hAnsi="Cambria Math" w:cs="Cambria Math"/>
                  <w:sz w:val="24"/>
                  <w:szCs w:val="24"/>
                </w:rPr>
                <m:t>a+b-c</m:t>
              </m:r>
            </m:den>
          </m:f>
          <m:r>
            <w:rPr>
              <w:rFonts w:ascii="Cambria Math" w:hAnsi="Cambria Math" w:cs="Cambria Math"/>
              <w:sz w:val="24"/>
              <w:szCs w:val="24"/>
            </w:rPr>
            <m:t xml:space="preserve"> 100</m:t>
          </m:r>
        </m:oMath>
      </m:oMathPara>
    </w:p>
    <w:p w:rsidR="003B408B" w:rsidRPr="003B408B" w:rsidRDefault="003B408B" w:rsidP="003B408B">
      <w:pPr>
        <w:pStyle w:val="Default"/>
        <w:ind w:left="426"/>
        <w:rPr>
          <w:sz w:val="20"/>
          <w:szCs w:val="20"/>
        </w:rPr>
      </w:pPr>
      <w:proofErr w:type="spellStart"/>
      <w:r w:rsidRPr="003B408B">
        <w:rPr>
          <w:b/>
          <w:bCs/>
        </w:rPr>
        <w:t>ϕ</w:t>
      </w:r>
      <w:r w:rsidRPr="003B408B">
        <w:rPr>
          <w:b/>
          <w:bCs/>
          <w:vertAlign w:val="subscript"/>
        </w:rPr>
        <w:t>ij</w:t>
      </w:r>
      <w:proofErr w:type="spellEnd"/>
      <w:r w:rsidRPr="003B408B">
        <w:rPr>
          <w:b/>
          <w:bCs/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r w:rsidRPr="003B408B">
        <w:rPr>
          <w:sz w:val="20"/>
          <w:szCs w:val="20"/>
        </w:rPr>
        <w:t xml:space="preserve">coefficient </w:t>
      </w:r>
      <w:proofErr w:type="spellStart"/>
      <w:r w:rsidRPr="003B408B">
        <w:rPr>
          <w:sz w:val="20"/>
          <w:szCs w:val="20"/>
        </w:rPr>
        <w:t>coenotique</w:t>
      </w:r>
      <w:proofErr w:type="spellEnd"/>
      <w:r w:rsidRPr="003B408B">
        <w:rPr>
          <w:sz w:val="20"/>
          <w:szCs w:val="20"/>
        </w:rPr>
        <w:t xml:space="preserve"> de Jaccard ca</w:t>
      </w:r>
      <w:r w:rsidR="00086454">
        <w:rPr>
          <w:sz w:val="20"/>
          <w:szCs w:val="20"/>
        </w:rPr>
        <w:t>lculé entre les stations i et j</w:t>
      </w:r>
      <w:r w:rsidRPr="003B408B">
        <w:rPr>
          <w:sz w:val="20"/>
          <w:szCs w:val="20"/>
        </w:rPr>
        <w:t xml:space="preserve">. </w:t>
      </w:r>
    </w:p>
    <w:p w:rsidR="003B408B" w:rsidRPr="003B408B" w:rsidRDefault="00DB60F5" w:rsidP="003B408B">
      <w:pPr>
        <w:pStyle w:val="Default"/>
        <w:ind w:left="426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c</w:t>
      </w:r>
      <w:proofErr w:type="gramEnd"/>
      <w:r w:rsidR="003B408B" w:rsidRPr="003B408B">
        <w:rPr>
          <w:b/>
          <w:bCs/>
          <w:sz w:val="20"/>
          <w:szCs w:val="20"/>
        </w:rPr>
        <w:t xml:space="preserve"> :</w:t>
      </w:r>
      <w:r w:rsidR="003B408B">
        <w:rPr>
          <w:b/>
          <w:bCs/>
          <w:sz w:val="20"/>
          <w:szCs w:val="20"/>
        </w:rPr>
        <w:t xml:space="preserve"> </w:t>
      </w:r>
      <w:r w:rsidR="003B408B" w:rsidRPr="003B408B">
        <w:rPr>
          <w:sz w:val="20"/>
          <w:szCs w:val="20"/>
        </w:rPr>
        <w:t>nombre d’espèces communes aux stations.</w:t>
      </w:r>
      <w:r w:rsidR="003B408B" w:rsidRPr="003B408B">
        <w:rPr>
          <w:b/>
          <w:bCs/>
          <w:sz w:val="20"/>
          <w:szCs w:val="20"/>
        </w:rPr>
        <w:t xml:space="preserve"> </w:t>
      </w:r>
    </w:p>
    <w:p w:rsidR="003B408B" w:rsidRPr="003B408B" w:rsidRDefault="00DB60F5" w:rsidP="003B408B">
      <w:pPr>
        <w:pStyle w:val="Default"/>
        <w:ind w:left="426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</w:t>
      </w:r>
      <w:proofErr w:type="gramEnd"/>
      <w:r w:rsidR="003B408B" w:rsidRPr="003B408B">
        <w:rPr>
          <w:b/>
          <w:bCs/>
          <w:sz w:val="20"/>
          <w:szCs w:val="20"/>
        </w:rPr>
        <w:t xml:space="preserve"> : </w:t>
      </w:r>
      <w:r w:rsidR="003B408B" w:rsidRPr="003B408B">
        <w:rPr>
          <w:sz w:val="20"/>
          <w:szCs w:val="20"/>
        </w:rPr>
        <w:t xml:space="preserve">nombre </w:t>
      </w:r>
      <w:r w:rsidR="003B408B">
        <w:rPr>
          <w:sz w:val="20"/>
          <w:szCs w:val="20"/>
        </w:rPr>
        <w:t>d’espèces propre à la station i</w:t>
      </w:r>
      <w:r w:rsidR="003B408B" w:rsidRPr="003B408B">
        <w:rPr>
          <w:sz w:val="20"/>
          <w:szCs w:val="20"/>
        </w:rPr>
        <w:t>.</w:t>
      </w:r>
      <w:r w:rsidR="003B408B" w:rsidRPr="003B408B">
        <w:rPr>
          <w:b/>
          <w:bCs/>
          <w:sz w:val="20"/>
          <w:szCs w:val="20"/>
        </w:rPr>
        <w:t xml:space="preserve"> </w:t>
      </w:r>
    </w:p>
    <w:p w:rsidR="003B408B" w:rsidRPr="003B408B" w:rsidRDefault="00DB60F5" w:rsidP="003B408B">
      <w:pPr>
        <w:pStyle w:val="Default"/>
        <w:ind w:left="426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b</w:t>
      </w:r>
      <w:proofErr w:type="gramEnd"/>
      <w:r w:rsidR="003B408B" w:rsidRPr="003B408B">
        <w:rPr>
          <w:b/>
          <w:bCs/>
          <w:sz w:val="20"/>
          <w:szCs w:val="20"/>
        </w:rPr>
        <w:t xml:space="preserve"> : </w:t>
      </w:r>
      <w:r w:rsidR="003B408B" w:rsidRPr="003B408B">
        <w:rPr>
          <w:sz w:val="20"/>
          <w:szCs w:val="20"/>
        </w:rPr>
        <w:t xml:space="preserve">nombre d’espèces propre à la station j. </w:t>
      </w:r>
    </w:p>
    <w:p w:rsidR="003B408B" w:rsidRDefault="003B408B" w:rsidP="003B408B">
      <w:pPr>
        <w:pStyle w:val="Default"/>
        <w:rPr>
          <w:sz w:val="20"/>
          <w:szCs w:val="20"/>
        </w:rPr>
      </w:pPr>
    </w:p>
    <w:p w:rsidR="003B408B" w:rsidRPr="003B408B" w:rsidRDefault="003B408B" w:rsidP="003B408B">
      <w:pPr>
        <w:pStyle w:val="Default"/>
        <w:rPr>
          <w:sz w:val="20"/>
          <w:szCs w:val="20"/>
        </w:rPr>
      </w:pPr>
      <w:r w:rsidRPr="003B408B">
        <w:rPr>
          <w:sz w:val="20"/>
          <w:szCs w:val="20"/>
        </w:rPr>
        <w:t>Ce coefficient est utilisé pour comparer la composition spécifique des peuplements dans les différentes stations prises deux à deux. Les valeurs du coefficient sont comprises entre 0 et 100 plus elles sont proches de 100, plus les deux peuplements sont qualitativement semblables.</w:t>
      </w:r>
    </w:p>
    <w:p w:rsidR="001B2DF6" w:rsidRDefault="001B2DF6" w:rsidP="003B408B">
      <w:pPr>
        <w:jc w:val="both"/>
        <w:rPr>
          <w:sz w:val="20"/>
          <w:szCs w:val="20"/>
        </w:rPr>
      </w:pPr>
    </w:p>
    <w:p w:rsidR="0077135A" w:rsidRDefault="0077135A" w:rsidP="0077135A">
      <w:pPr>
        <w:jc w:val="both"/>
        <w:rPr>
          <w:b/>
          <w:bCs/>
          <w:sz w:val="20"/>
          <w:szCs w:val="20"/>
        </w:rPr>
      </w:pPr>
      <w:r w:rsidRPr="0077135A">
        <w:rPr>
          <w:b/>
          <w:bCs/>
          <w:sz w:val="20"/>
          <w:szCs w:val="20"/>
        </w:rPr>
        <w:t xml:space="preserve">1.3.5. Indice de </w:t>
      </w:r>
      <w:proofErr w:type="spellStart"/>
      <w:r w:rsidRPr="0077135A">
        <w:rPr>
          <w:b/>
          <w:bCs/>
          <w:sz w:val="20"/>
          <w:szCs w:val="20"/>
        </w:rPr>
        <w:t>Sørensen</w:t>
      </w:r>
      <w:proofErr w:type="spellEnd"/>
    </w:p>
    <w:p w:rsidR="001D15BA" w:rsidRDefault="0077135A" w:rsidP="001D15BA">
      <w:pPr>
        <w:jc w:val="both"/>
        <w:rPr>
          <w:sz w:val="20"/>
          <w:szCs w:val="20"/>
        </w:rPr>
      </w:pPr>
      <w:r w:rsidRPr="0077135A">
        <w:rPr>
          <w:sz w:val="20"/>
          <w:szCs w:val="20"/>
        </w:rPr>
        <w:t xml:space="preserve">Destiné à comparer des objets sur la base de la présence-absence d’espèces. Il donne un poids deux fois plus élevé à la double </w:t>
      </w:r>
      <w:r w:rsidRPr="001D15BA">
        <w:rPr>
          <w:sz w:val="20"/>
          <w:szCs w:val="20"/>
        </w:rPr>
        <w:t>présence</w:t>
      </w:r>
      <w:r w:rsidRPr="0077135A">
        <w:rPr>
          <w:sz w:val="20"/>
          <w:szCs w:val="20"/>
        </w:rPr>
        <w:t>.</w:t>
      </w:r>
      <w:r w:rsidR="001D15BA">
        <w:rPr>
          <w:sz w:val="20"/>
          <w:szCs w:val="20"/>
        </w:rPr>
        <w:t xml:space="preserve"> </w:t>
      </w:r>
      <w:r w:rsidRPr="0077135A">
        <w:rPr>
          <w:sz w:val="20"/>
          <w:szCs w:val="20"/>
        </w:rPr>
        <w:t>L’</w:t>
      </w:r>
      <w:r w:rsidRPr="001D15BA">
        <w:rPr>
          <w:sz w:val="20"/>
          <w:szCs w:val="20"/>
        </w:rPr>
        <w:t xml:space="preserve">indice de </w:t>
      </w:r>
      <w:proofErr w:type="spellStart"/>
      <w:r w:rsidRPr="001D15BA">
        <w:rPr>
          <w:sz w:val="20"/>
          <w:szCs w:val="20"/>
        </w:rPr>
        <w:t>Sørensen</w:t>
      </w:r>
      <w:proofErr w:type="spellEnd"/>
      <w:r w:rsidRPr="0077135A">
        <w:rPr>
          <w:sz w:val="20"/>
          <w:szCs w:val="20"/>
        </w:rPr>
        <w:t xml:space="preserve"> est une mesure très simple de la </w:t>
      </w:r>
      <w:r w:rsidRPr="001D15BA">
        <w:rPr>
          <w:sz w:val="20"/>
          <w:szCs w:val="20"/>
        </w:rPr>
        <w:t>biodiversité</w:t>
      </w:r>
      <w:r w:rsidRPr="0077135A">
        <w:rPr>
          <w:sz w:val="20"/>
          <w:szCs w:val="20"/>
        </w:rPr>
        <w:t xml:space="preserve"> bêta (β), variant de 0 quand il n’y a pas d’</w:t>
      </w:r>
      <w:r w:rsidRPr="001D15BA">
        <w:rPr>
          <w:sz w:val="20"/>
          <w:szCs w:val="20"/>
        </w:rPr>
        <w:t>espèces</w:t>
      </w:r>
      <w:r w:rsidRPr="0077135A">
        <w:rPr>
          <w:sz w:val="20"/>
          <w:szCs w:val="20"/>
        </w:rPr>
        <w:t xml:space="preserve"> communes entre deux </w:t>
      </w:r>
      <w:r w:rsidRPr="001D15BA">
        <w:rPr>
          <w:sz w:val="20"/>
          <w:szCs w:val="20"/>
        </w:rPr>
        <w:t>communautés</w:t>
      </w:r>
      <w:r w:rsidRPr="0077135A">
        <w:rPr>
          <w:sz w:val="20"/>
          <w:szCs w:val="20"/>
        </w:rPr>
        <w:t xml:space="preserve">, à la </w:t>
      </w:r>
      <w:r w:rsidRPr="001D15BA">
        <w:rPr>
          <w:sz w:val="20"/>
          <w:szCs w:val="20"/>
        </w:rPr>
        <w:t>valeur</w:t>
      </w:r>
      <w:r w:rsidRPr="0077135A">
        <w:rPr>
          <w:sz w:val="20"/>
          <w:szCs w:val="20"/>
        </w:rPr>
        <w:t xml:space="preserve"> 1 lorsque les mêmes espèces existent dans les deux communautés. </w:t>
      </w:r>
      <w:r w:rsidRPr="001D15BA">
        <w:rPr>
          <w:sz w:val="20"/>
          <w:szCs w:val="20"/>
        </w:rPr>
        <w:t>Indice</w:t>
      </w:r>
      <w:r w:rsidRPr="0077135A">
        <w:rPr>
          <w:sz w:val="20"/>
          <w:szCs w:val="20"/>
        </w:rPr>
        <w:t xml:space="preserve"> fréquemment </w:t>
      </w:r>
      <w:r w:rsidR="00385094" w:rsidRPr="0077135A">
        <w:rPr>
          <w:sz w:val="20"/>
          <w:szCs w:val="20"/>
        </w:rPr>
        <w:t>utiliser</w:t>
      </w:r>
      <w:r w:rsidRPr="0077135A">
        <w:rPr>
          <w:sz w:val="20"/>
          <w:szCs w:val="20"/>
        </w:rPr>
        <w:t xml:space="preserve"> également pour évaluer le niveau de similitude entre les différents groupements végétaux discriminés sur la base de leurs </w:t>
      </w:r>
      <w:r w:rsidRPr="001D15BA">
        <w:rPr>
          <w:sz w:val="20"/>
          <w:szCs w:val="20"/>
        </w:rPr>
        <w:t>flores</w:t>
      </w:r>
      <w:r w:rsidR="001D15BA">
        <w:rPr>
          <w:sz w:val="20"/>
          <w:szCs w:val="20"/>
        </w:rPr>
        <w:t xml:space="preserve"> respectives. </w:t>
      </w:r>
    </w:p>
    <w:p w:rsidR="0077135A" w:rsidRDefault="0077135A" w:rsidP="001D15BA">
      <w:pPr>
        <w:jc w:val="both"/>
        <w:rPr>
          <w:sz w:val="20"/>
          <w:szCs w:val="20"/>
        </w:rPr>
      </w:pPr>
      <w:r w:rsidRPr="0077135A">
        <w:rPr>
          <w:sz w:val="20"/>
          <w:szCs w:val="20"/>
        </w:rPr>
        <w:t xml:space="preserve">Le choix de cet indice se justifie par son application courante et permet une comparaison entre plusieurs valeurs ou, le plus souvent, par rapport à une valeur de </w:t>
      </w:r>
      <w:r w:rsidRPr="001D15BA">
        <w:rPr>
          <w:sz w:val="20"/>
          <w:szCs w:val="20"/>
        </w:rPr>
        <w:t>référenc</w:t>
      </w:r>
      <w:bookmarkStart w:id="0" w:name="_GoBack"/>
      <w:bookmarkEnd w:id="0"/>
      <w:r w:rsidRPr="001D15BA">
        <w:rPr>
          <w:sz w:val="20"/>
          <w:szCs w:val="20"/>
        </w:rPr>
        <w:t>e</w:t>
      </w:r>
      <w:r w:rsidRPr="0077135A">
        <w:rPr>
          <w:sz w:val="20"/>
          <w:szCs w:val="20"/>
        </w:rPr>
        <w:t xml:space="preserve">. L’indice de </w:t>
      </w:r>
      <w:proofErr w:type="spellStart"/>
      <w:r w:rsidRPr="0077135A">
        <w:rPr>
          <w:sz w:val="20"/>
          <w:szCs w:val="20"/>
        </w:rPr>
        <w:t>Sørensen</w:t>
      </w:r>
      <w:proofErr w:type="spellEnd"/>
      <w:r w:rsidRPr="0077135A">
        <w:rPr>
          <w:sz w:val="20"/>
          <w:szCs w:val="20"/>
        </w:rPr>
        <w:t xml:space="preserve"> donne un poids important à la présence d’une </w:t>
      </w:r>
      <w:r w:rsidRPr="0077135A">
        <w:rPr>
          <w:sz w:val="20"/>
          <w:szCs w:val="20"/>
        </w:rPr>
        <w:lastRenderedPageBreak/>
        <w:t xml:space="preserve">espèce par rapport à son absence et se distingue de l’indice de Jaccard uniquement par la multiplication par deux de la valeur de la double présence. L’indice de </w:t>
      </w:r>
      <w:proofErr w:type="spellStart"/>
      <w:r w:rsidRPr="0077135A">
        <w:rPr>
          <w:sz w:val="20"/>
          <w:szCs w:val="20"/>
        </w:rPr>
        <w:t>Sørensen</w:t>
      </w:r>
      <w:proofErr w:type="spellEnd"/>
      <w:r w:rsidRPr="0077135A">
        <w:rPr>
          <w:sz w:val="20"/>
          <w:szCs w:val="20"/>
        </w:rPr>
        <w:t xml:space="preserve"> est donné par la formule suivante :</w:t>
      </w:r>
    </w:p>
    <w:p w:rsidR="001D15BA" w:rsidRPr="001D15BA" w:rsidRDefault="001D15BA" w:rsidP="00FA5E60">
      <w:pPr>
        <w:jc w:val="center"/>
        <w:rPr>
          <w:sz w:val="20"/>
          <w:szCs w:val="20"/>
        </w:rPr>
      </w:pPr>
      <w:proofErr w:type="gramStart"/>
      <w:r w:rsidRPr="001D15BA">
        <w:rPr>
          <w:b/>
          <w:bCs/>
          <w:sz w:val="20"/>
          <w:szCs w:val="20"/>
        </w:rPr>
        <w:t>β</w:t>
      </w:r>
      <w:proofErr w:type="gramEnd"/>
      <w:r w:rsidRPr="001D15BA">
        <w:rPr>
          <w:b/>
          <w:bCs/>
          <w:sz w:val="20"/>
          <w:szCs w:val="20"/>
        </w:rPr>
        <w:t xml:space="preserve"> = Cs = 2</w:t>
      </w:r>
      <w:r w:rsidR="00FA5E60">
        <w:rPr>
          <w:b/>
          <w:bCs/>
          <w:sz w:val="20"/>
          <w:szCs w:val="20"/>
        </w:rPr>
        <w:t>c</w:t>
      </w:r>
      <w:r w:rsidRPr="001D15BA">
        <w:rPr>
          <w:b/>
          <w:bCs/>
          <w:sz w:val="20"/>
          <w:szCs w:val="20"/>
        </w:rPr>
        <w:t xml:space="preserve"> / ( 2</w:t>
      </w:r>
      <w:r w:rsidR="00FA5E60">
        <w:rPr>
          <w:b/>
          <w:bCs/>
          <w:sz w:val="20"/>
          <w:szCs w:val="20"/>
        </w:rPr>
        <w:t>c</w:t>
      </w:r>
      <w:r w:rsidRPr="001D15BA">
        <w:rPr>
          <w:b/>
          <w:bCs/>
          <w:sz w:val="20"/>
          <w:szCs w:val="20"/>
        </w:rPr>
        <w:t xml:space="preserve"> + </w:t>
      </w:r>
      <w:r w:rsidR="00FA5E60">
        <w:rPr>
          <w:b/>
          <w:bCs/>
          <w:sz w:val="20"/>
          <w:szCs w:val="20"/>
        </w:rPr>
        <w:t>a</w:t>
      </w:r>
      <w:r w:rsidRPr="001D15BA">
        <w:rPr>
          <w:b/>
          <w:bCs/>
          <w:sz w:val="20"/>
          <w:szCs w:val="20"/>
        </w:rPr>
        <w:t xml:space="preserve"> + </w:t>
      </w:r>
      <w:r w:rsidR="00FA5E60">
        <w:rPr>
          <w:b/>
          <w:bCs/>
          <w:sz w:val="20"/>
          <w:szCs w:val="20"/>
        </w:rPr>
        <w:t>b</w:t>
      </w:r>
      <w:r w:rsidRPr="001D15BA">
        <w:rPr>
          <w:b/>
          <w:bCs/>
          <w:sz w:val="20"/>
          <w:szCs w:val="20"/>
        </w:rPr>
        <w:t xml:space="preserve"> ) * 100</w:t>
      </w:r>
    </w:p>
    <w:p w:rsidR="00FA5E60" w:rsidRDefault="001D15BA" w:rsidP="00FA5E60">
      <w:pPr>
        <w:jc w:val="both"/>
        <w:rPr>
          <w:sz w:val="20"/>
          <w:szCs w:val="20"/>
        </w:rPr>
      </w:pPr>
      <w:r w:rsidRPr="001D15BA">
        <w:rPr>
          <w:sz w:val="20"/>
          <w:szCs w:val="20"/>
        </w:rPr>
        <w:t>   </w:t>
      </w:r>
      <w:proofErr w:type="gramStart"/>
      <w:r w:rsidRPr="001D15BA">
        <w:rPr>
          <w:sz w:val="20"/>
          <w:szCs w:val="20"/>
        </w:rPr>
        <w:t>où</w:t>
      </w:r>
      <w:proofErr w:type="gramEnd"/>
      <w:r w:rsidR="00FA5E60">
        <w:rPr>
          <w:sz w:val="20"/>
          <w:szCs w:val="20"/>
        </w:rPr>
        <w:t> :</w:t>
      </w:r>
      <w:r w:rsidRPr="001D15BA">
        <w:rPr>
          <w:sz w:val="20"/>
          <w:szCs w:val="20"/>
        </w:rPr>
        <w:t> </w:t>
      </w:r>
    </w:p>
    <w:p w:rsidR="001D15BA" w:rsidRPr="00FA5E60" w:rsidRDefault="00FA5E60" w:rsidP="00FA5E60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> :</w:t>
      </w:r>
      <w:r w:rsidR="001D15BA" w:rsidRPr="00FA5E60">
        <w:rPr>
          <w:sz w:val="20"/>
          <w:szCs w:val="20"/>
        </w:rPr>
        <w:t xml:space="preserve"> est le nombre d’espèces communes aux deux groupements comparés ;</w:t>
      </w:r>
    </w:p>
    <w:p w:rsidR="001D15BA" w:rsidRPr="00FA5E60" w:rsidRDefault="00FA5E60" w:rsidP="00FA5E60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 w:rsidRPr="00FA5E60">
        <w:rPr>
          <w:sz w:val="20"/>
          <w:szCs w:val="20"/>
        </w:rPr>
        <w:t>a</w:t>
      </w:r>
      <w:proofErr w:type="gramEnd"/>
      <w:r w:rsidR="001D15BA" w:rsidRPr="00FA5E60">
        <w:rPr>
          <w:sz w:val="20"/>
          <w:szCs w:val="20"/>
        </w:rPr>
        <w:t xml:space="preserve"> et </w:t>
      </w:r>
      <w:r w:rsidRPr="00FA5E60">
        <w:rPr>
          <w:sz w:val="20"/>
          <w:szCs w:val="20"/>
        </w:rPr>
        <w:t>b</w:t>
      </w:r>
      <w:r>
        <w:rPr>
          <w:sz w:val="20"/>
          <w:szCs w:val="20"/>
        </w:rPr>
        <w:t xml:space="preserve"> : </w:t>
      </w:r>
      <w:r w:rsidR="001D15BA" w:rsidRPr="00FA5E60">
        <w:rPr>
          <w:sz w:val="20"/>
          <w:szCs w:val="20"/>
        </w:rPr>
        <w:t>sont les nombres d’espèces absentes dans l’un des groupements mais présentes dans l’autre.</w:t>
      </w:r>
    </w:p>
    <w:p w:rsidR="001D15BA" w:rsidRPr="0077135A" w:rsidRDefault="001D15BA" w:rsidP="001D15BA">
      <w:pPr>
        <w:jc w:val="both"/>
        <w:rPr>
          <w:sz w:val="20"/>
          <w:szCs w:val="20"/>
        </w:rPr>
      </w:pPr>
    </w:p>
    <w:sectPr w:rsidR="001D15BA" w:rsidRPr="0077135A" w:rsidSect="00982B6F">
      <w:footerReference w:type="default" r:id="rId7"/>
      <w:pgSz w:w="11906" w:h="16838"/>
      <w:pgMar w:top="709" w:right="1133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66" w:rsidRDefault="00367066" w:rsidP="00C93E33">
      <w:pPr>
        <w:spacing w:after="0" w:line="240" w:lineRule="auto"/>
      </w:pPr>
      <w:r>
        <w:separator/>
      </w:r>
    </w:p>
  </w:endnote>
  <w:endnote w:type="continuationSeparator" w:id="0">
    <w:p w:rsidR="00367066" w:rsidRDefault="00367066" w:rsidP="00C9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33" w:rsidRDefault="00C93E33" w:rsidP="00C93E33">
    <w:pPr>
      <w:pStyle w:val="Pieddepage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C93E33">
      <w:rPr>
        <w:rFonts w:asciiTheme="majorHAnsi" w:hAnsiTheme="majorHAnsi"/>
        <w:b/>
        <w:bCs/>
        <w:i/>
        <w:iCs/>
        <w:sz w:val="20"/>
        <w:szCs w:val="20"/>
      </w:rPr>
      <w:t xml:space="preserve">Dr. M. </w:t>
    </w:r>
    <w:proofErr w:type="spellStart"/>
    <w:r w:rsidRPr="00C93E33">
      <w:rPr>
        <w:rFonts w:asciiTheme="majorHAnsi" w:hAnsiTheme="majorHAnsi"/>
        <w:b/>
        <w:bCs/>
        <w:i/>
        <w:iCs/>
        <w:sz w:val="20"/>
        <w:szCs w:val="20"/>
      </w:rPr>
      <w:t>Hamimeche</w:t>
    </w:r>
    <w:proofErr w:type="spellEnd"/>
    <w:r>
      <w:rPr>
        <w:rFonts w:asciiTheme="majorHAnsi" w:hAnsiTheme="majorHAnsi"/>
      </w:rPr>
      <w:ptab w:relativeTo="margin" w:alignment="right" w:leader="none"/>
    </w:r>
    <w:r w:rsidRPr="00C93E33">
      <w:t xml:space="preserve">Page </w:t>
    </w:r>
    <w:r w:rsidRPr="00C93E33">
      <w:fldChar w:fldCharType="begin"/>
    </w:r>
    <w:r w:rsidRPr="00C93E33">
      <w:instrText xml:space="preserve"> PAGE   \* MERGEFORMAT </w:instrText>
    </w:r>
    <w:r w:rsidRPr="00C93E33">
      <w:fldChar w:fldCharType="separate"/>
    </w:r>
    <w:r w:rsidR="00385094">
      <w:rPr>
        <w:noProof/>
      </w:rPr>
      <w:t>4</w:t>
    </w:r>
    <w:r w:rsidRPr="00C93E33">
      <w:rPr>
        <w:noProof/>
      </w:rPr>
      <w:fldChar w:fldCharType="end"/>
    </w:r>
  </w:p>
  <w:p w:rsidR="00C93E33" w:rsidRDefault="00C93E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66" w:rsidRDefault="00367066" w:rsidP="00C93E33">
      <w:pPr>
        <w:spacing w:after="0" w:line="240" w:lineRule="auto"/>
      </w:pPr>
      <w:r>
        <w:separator/>
      </w:r>
    </w:p>
  </w:footnote>
  <w:footnote w:type="continuationSeparator" w:id="0">
    <w:p w:rsidR="00367066" w:rsidRDefault="00367066" w:rsidP="00C9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198F"/>
    <w:multiLevelType w:val="hybridMultilevel"/>
    <w:tmpl w:val="7200D0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23D4"/>
    <w:multiLevelType w:val="hybridMultilevel"/>
    <w:tmpl w:val="8626CB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7F41"/>
    <w:multiLevelType w:val="hybridMultilevel"/>
    <w:tmpl w:val="469AE9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9"/>
    <w:rsid w:val="00047EA2"/>
    <w:rsid w:val="00086454"/>
    <w:rsid w:val="00172F8A"/>
    <w:rsid w:val="001B2DF6"/>
    <w:rsid w:val="001D15BA"/>
    <w:rsid w:val="00253D0B"/>
    <w:rsid w:val="00357751"/>
    <w:rsid w:val="00360E21"/>
    <w:rsid w:val="00367066"/>
    <w:rsid w:val="00385094"/>
    <w:rsid w:val="003B408B"/>
    <w:rsid w:val="003D034B"/>
    <w:rsid w:val="004A33CC"/>
    <w:rsid w:val="00583404"/>
    <w:rsid w:val="005C4F6A"/>
    <w:rsid w:val="00741C01"/>
    <w:rsid w:val="0077135A"/>
    <w:rsid w:val="007A274E"/>
    <w:rsid w:val="00876C4F"/>
    <w:rsid w:val="00966AA1"/>
    <w:rsid w:val="00982B6F"/>
    <w:rsid w:val="009F33BE"/>
    <w:rsid w:val="00B73F24"/>
    <w:rsid w:val="00C757D1"/>
    <w:rsid w:val="00C93E33"/>
    <w:rsid w:val="00D74ADD"/>
    <w:rsid w:val="00DB071C"/>
    <w:rsid w:val="00DB60F5"/>
    <w:rsid w:val="00E53AE9"/>
    <w:rsid w:val="00EB0874"/>
    <w:rsid w:val="00F85309"/>
    <w:rsid w:val="00FA5E60"/>
    <w:rsid w:val="00F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68865"/>
  <w15:chartTrackingRefBased/>
  <w15:docId w15:val="{73B86C2C-DDC9-42B1-8FE8-0EA78D05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85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6A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E33"/>
  </w:style>
  <w:style w:type="paragraph" w:styleId="Pieddepage">
    <w:name w:val="footer"/>
    <w:basedOn w:val="Normal"/>
    <w:link w:val="PieddepageCar"/>
    <w:uiPriority w:val="99"/>
    <w:unhideWhenUsed/>
    <w:rsid w:val="00C9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E33"/>
  </w:style>
  <w:style w:type="paragraph" w:styleId="Sansinterligne">
    <w:name w:val="No Spacing"/>
    <w:uiPriority w:val="1"/>
    <w:qFormat/>
    <w:rsid w:val="00982B6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7135A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73F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1232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User</cp:lastModifiedBy>
  <cp:revision>16</cp:revision>
  <dcterms:created xsi:type="dcterms:W3CDTF">2023-04-11T04:09:00Z</dcterms:created>
  <dcterms:modified xsi:type="dcterms:W3CDTF">2025-04-25T06:59:00Z</dcterms:modified>
</cp:coreProperties>
</file>