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AA0" w:rsidRDefault="00C67AA0" w:rsidP="004D0699">
      <w:pPr>
        <w:pStyle w:val="Default"/>
        <w:jc w:val="center"/>
        <w:rPr>
          <w:rFonts w:asciiTheme="majorBidi" w:hAnsiTheme="majorBidi" w:cstheme="majorBidi"/>
        </w:rPr>
      </w:pPr>
      <w:r w:rsidRPr="00C67AA0">
        <w:rPr>
          <w:rFonts w:asciiTheme="majorBidi" w:hAnsiTheme="majorBidi" w:cstheme="majorBidi"/>
          <w:color w:val="auto"/>
        </w:rPr>
        <w:t>Université de Jijel</w:t>
      </w:r>
    </w:p>
    <w:p w:rsidR="00C67AA0" w:rsidRDefault="00C67AA0" w:rsidP="00C67AA0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C67AA0">
        <w:rPr>
          <w:rFonts w:asciiTheme="majorBidi" w:hAnsiTheme="majorBidi" w:cstheme="majorBidi"/>
          <w:sz w:val="24"/>
          <w:szCs w:val="24"/>
        </w:rPr>
        <w:t>Faculté des sciences exactes et informatique</w:t>
      </w:r>
    </w:p>
    <w:p w:rsidR="008F453F" w:rsidRDefault="00C67AA0" w:rsidP="001A264F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C67AA0">
        <w:rPr>
          <w:rFonts w:asciiTheme="majorBidi" w:hAnsiTheme="majorBidi" w:cstheme="majorBidi"/>
          <w:sz w:val="24"/>
          <w:szCs w:val="24"/>
        </w:rPr>
        <w:t xml:space="preserve">Département </w:t>
      </w:r>
      <w:r w:rsidR="007533AA">
        <w:rPr>
          <w:rFonts w:asciiTheme="majorBidi" w:hAnsiTheme="majorBidi" w:cstheme="majorBidi"/>
          <w:sz w:val="24"/>
          <w:szCs w:val="24"/>
        </w:rPr>
        <w:t>de mathématiques</w:t>
      </w:r>
    </w:p>
    <w:p w:rsidR="00C67AA0" w:rsidRDefault="00602510" w:rsidP="00C67AA0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noProof/>
          <w:lang w:eastAsia="fr-FR"/>
        </w:rPr>
        <w:pict>
          <v:rect id="_x0000_s1026" style="position:absolute;left:0;text-align:left;margin-left:310.5pt;margin-top:.6pt;width:100.5pt;height:60pt;z-index:251658240" filled="f" stroked="f">
            <v:textbox style="mso-next-textbox:#_x0000_s1026">
              <w:txbxContent>
                <w:p w:rsidR="004D0699" w:rsidRDefault="004F0D4F" w:rsidP="00602510">
                  <w:r>
                    <w:t>1</w:t>
                  </w:r>
                  <w:r w:rsidR="00602510">
                    <w:t>5</w:t>
                  </w:r>
                  <w:r w:rsidR="004D0699">
                    <w:t>/1</w:t>
                  </w:r>
                  <w:r>
                    <w:t>0</w:t>
                  </w:r>
                  <w:r w:rsidR="004D0699">
                    <w:t>/20</w:t>
                  </w:r>
                  <w:r>
                    <w:t>2</w:t>
                  </w:r>
                  <w:r w:rsidR="00602510">
                    <w:t>5</w:t>
                  </w:r>
                </w:p>
              </w:txbxContent>
            </v:textbox>
          </v:rect>
        </w:pict>
      </w:r>
    </w:p>
    <w:p w:rsidR="00C67AA0" w:rsidRDefault="00C67AA0" w:rsidP="00C67AA0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4D0699" w:rsidRDefault="00602510" w:rsidP="00C67AA0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lang w:eastAsia="fr-FR"/>
        </w:rPr>
        <w:pict>
          <v:rect id="_x0000_s1027" style="position:absolute;left:0;text-align:left;margin-left:316.5pt;margin-top:.75pt;width:114.75pt;height:46.5pt;z-index:251659264" stroked="f">
            <v:textbox style="mso-next-textbox:#_x0000_s1027">
              <w:txbxContent>
                <w:p w:rsidR="004D0699" w:rsidRPr="00FD460D" w:rsidRDefault="004D0699" w:rsidP="00077CB3">
                  <w:pPr>
                    <w:jc w:val="center"/>
                    <w:rPr>
                      <w:b/>
                      <w:bCs/>
                    </w:rPr>
                  </w:pPr>
                  <w:proofErr w:type="gramStart"/>
                  <w:r w:rsidRPr="00FD460D">
                    <w:rPr>
                      <w:b/>
                      <w:bCs/>
                    </w:rPr>
                    <w:t>2</w:t>
                  </w:r>
                  <w:r w:rsidRPr="00FD460D">
                    <w:rPr>
                      <w:b/>
                      <w:bCs/>
                      <w:vertAlign w:val="superscript"/>
                    </w:rPr>
                    <w:t>ième</w:t>
                  </w:r>
                  <w:r w:rsidRPr="00FD460D">
                    <w:rPr>
                      <w:b/>
                      <w:bCs/>
                    </w:rPr>
                    <w:t xml:space="preserve">  année</w:t>
                  </w:r>
                  <w:proofErr w:type="gramEnd"/>
                  <w:r w:rsidRPr="00FD460D">
                    <w:rPr>
                      <w:b/>
                      <w:bCs/>
                    </w:rPr>
                    <w:t xml:space="preserve"> master  </w:t>
                  </w:r>
                  <w:r w:rsidR="00077CB3">
                    <w:rPr>
                      <w:b/>
                      <w:bCs/>
                    </w:rPr>
                    <w:t>PS</w:t>
                  </w:r>
                </w:p>
              </w:txbxContent>
            </v:textbox>
          </v:rect>
        </w:pict>
      </w:r>
    </w:p>
    <w:p w:rsidR="004D0699" w:rsidRDefault="004D0699" w:rsidP="00C67AA0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4D0699" w:rsidRDefault="004D0699" w:rsidP="00C67AA0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4D0699" w:rsidRDefault="004D0699" w:rsidP="00C67AA0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4D0699" w:rsidRDefault="004D0699" w:rsidP="00C67AA0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4D0699" w:rsidRDefault="004D0699" w:rsidP="004D069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C67AA0" w:rsidRPr="004D0699" w:rsidRDefault="004D0699" w:rsidP="001A264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4D0699">
        <w:rPr>
          <w:rFonts w:asciiTheme="majorBidi" w:hAnsiTheme="majorBidi" w:cstheme="majorBidi"/>
          <w:b/>
          <w:bCs/>
          <w:sz w:val="28"/>
          <w:szCs w:val="28"/>
        </w:rPr>
        <w:t xml:space="preserve">TP : </w:t>
      </w:r>
      <w:r w:rsidR="001A264F">
        <w:rPr>
          <w:rFonts w:asciiTheme="majorBidi" w:hAnsiTheme="majorBidi" w:cstheme="majorBidi"/>
          <w:b/>
          <w:bCs/>
          <w:sz w:val="28"/>
          <w:szCs w:val="28"/>
        </w:rPr>
        <w:t>Phases</w:t>
      </w:r>
      <w:r w:rsidRPr="004D0699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1A264F">
        <w:rPr>
          <w:rFonts w:asciiTheme="majorBidi" w:hAnsiTheme="majorBidi" w:cstheme="majorBidi"/>
          <w:b/>
          <w:bCs/>
          <w:sz w:val="28"/>
          <w:szCs w:val="28"/>
        </w:rPr>
        <w:t>de</w:t>
      </w:r>
      <w:r w:rsidRPr="004D0699">
        <w:rPr>
          <w:rFonts w:asciiTheme="majorBidi" w:hAnsiTheme="majorBidi" w:cstheme="majorBidi"/>
          <w:b/>
          <w:bCs/>
          <w:sz w:val="28"/>
          <w:szCs w:val="28"/>
        </w:rPr>
        <w:t xml:space="preserve"> la r</w:t>
      </w:r>
      <w:r w:rsidR="001A264F">
        <w:rPr>
          <w:rFonts w:asciiTheme="majorBidi" w:hAnsiTheme="majorBidi" w:cstheme="majorBidi"/>
          <w:b/>
          <w:bCs/>
          <w:sz w:val="28"/>
          <w:szCs w:val="28"/>
        </w:rPr>
        <w:t>echerche en mathématiques</w:t>
      </w:r>
    </w:p>
    <w:p w:rsidR="004D0699" w:rsidRDefault="004D0699" w:rsidP="00C67AA0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C67AA0" w:rsidRDefault="00C67AA0" w:rsidP="00C67AA0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4D0699" w:rsidRDefault="004D0699" w:rsidP="00C67AA0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4D0699" w:rsidRDefault="004D0699" w:rsidP="00C67AA0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p w:rsidR="004D0699" w:rsidRPr="00D50E55" w:rsidRDefault="004D0699" w:rsidP="00C56A87">
      <w:pPr>
        <w:spacing w:after="0" w:line="48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077CB3" w:rsidRPr="00077CB3" w:rsidRDefault="00C56A87" w:rsidP="00077CB3">
      <w:pPr>
        <w:autoSpaceDE w:val="0"/>
        <w:autoSpaceDN w:val="0"/>
        <w:adjustRightInd w:val="0"/>
        <w:spacing w:after="120" w:line="480" w:lineRule="auto"/>
        <w:jc w:val="both"/>
        <w:rPr>
          <w:rFonts w:cstheme="minorHAnsi"/>
          <w:sz w:val="24"/>
          <w:szCs w:val="24"/>
        </w:rPr>
      </w:pPr>
      <w:r w:rsidRPr="00D50E55">
        <w:rPr>
          <w:rFonts w:cstheme="minorHAnsi"/>
          <w:b/>
          <w:bCs/>
          <w:color w:val="0070C0"/>
          <w:sz w:val="24"/>
          <w:szCs w:val="24"/>
        </w:rPr>
        <w:t>1</w:t>
      </w:r>
      <w:r w:rsidR="007533AA" w:rsidRPr="00D50E55">
        <w:rPr>
          <w:rFonts w:cstheme="minorHAnsi"/>
          <w:b/>
          <w:bCs/>
          <w:color w:val="0070C0"/>
          <w:sz w:val="24"/>
          <w:szCs w:val="24"/>
        </w:rPr>
        <w:t>.</w:t>
      </w:r>
      <w:r w:rsidR="007533AA" w:rsidRPr="00D50E55">
        <w:rPr>
          <w:rFonts w:ascii="GaramondPremrPro-Smbd" w:hAnsi="GaramondPremrPro-Smbd" w:cs="GaramondPremrPro-Smbd"/>
          <w:sz w:val="24"/>
          <w:szCs w:val="24"/>
        </w:rPr>
        <w:t xml:space="preserve"> </w:t>
      </w:r>
      <w:r w:rsidR="007533AA" w:rsidRPr="00D50E55">
        <w:rPr>
          <w:rFonts w:cstheme="minorHAnsi"/>
          <w:sz w:val="24"/>
          <w:szCs w:val="24"/>
        </w:rPr>
        <w:t>Motiver et décrire le</w:t>
      </w:r>
      <w:r w:rsidR="00077CB3">
        <w:rPr>
          <w:rFonts w:cstheme="minorHAnsi"/>
          <w:sz w:val="24"/>
          <w:szCs w:val="24"/>
        </w:rPr>
        <w:t xml:space="preserve">s enjeux de l’étude de la </w:t>
      </w:r>
      <w:hyperlink r:id="rId5" w:history="1">
        <w:r w:rsidR="00077CB3" w:rsidRPr="00077CB3">
          <w:rPr>
            <w:rFonts w:cstheme="minorHAnsi"/>
            <w:sz w:val="24"/>
            <w:szCs w:val="24"/>
          </w:rPr>
          <w:t xml:space="preserve">Fiabilité et </w:t>
        </w:r>
        <w:r w:rsidR="00077CB3">
          <w:rPr>
            <w:rFonts w:cstheme="minorHAnsi"/>
            <w:sz w:val="24"/>
            <w:szCs w:val="24"/>
          </w:rPr>
          <w:t xml:space="preserve">les </w:t>
        </w:r>
        <w:r w:rsidR="00077CB3" w:rsidRPr="00077CB3">
          <w:rPr>
            <w:rFonts w:cstheme="minorHAnsi"/>
            <w:sz w:val="24"/>
            <w:szCs w:val="24"/>
          </w:rPr>
          <w:t>Files d'attentes</w:t>
        </w:r>
      </w:hyperlink>
      <w:r w:rsidR="00077CB3">
        <w:rPr>
          <w:rFonts w:cstheme="minorHAnsi"/>
          <w:b/>
          <w:bCs/>
          <w:sz w:val="24"/>
          <w:szCs w:val="24"/>
        </w:rPr>
        <w:t>.</w:t>
      </w:r>
    </w:p>
    <w:p w:rsidR="007533AA" w:rsidRPr="00D50E55" w:rsidRDefault="00C56A87" w:rsidP="00096EEB">
      <w:pPr>
        <w:autoSpaceDE w:val="0"/>
        <w:autoSpaceDN w:val="0"/>
        <w:adjustRightInd w:val="0"/>
        <w:spacing w:after="120" w:line="480" w:lineRule="auto"/>
        <w:jc w:val="both"/>
        <w:rPr>
          <w:rFonts w:cstheme="minorHAnsi"/>
          <w:sz w:val="24"/>
          <w:szCs w:val="24"/>
        </w:rPr>
      </w:pPr>
      <w:r w:rsidRPr="00D50E55">
        <w:rPr>
          <w:rFonts w:cstheme="minorHAnsi"/>
          <w:b/>
          <w:bCs/>
          <w:color w:val="0070C0"/>
          <w:sz w:val="24"/>
          <w:szCs w:val="24"/>
        </w:rPr>
        <w:t>2.</w:t>
      </w:r>
      <w:r w:rsidR="007533AA" w:rsidRPr="00D50E55">
        <w:rPr>
          <w:rFonts w:ascii="GaramondPremrPro-Smbd" w:hAnsi="GaramondPremrPro-Smbd" w:cs="GaramondPremrPro-Smbd"/>
          <w:sz w:val="24"/>
          <w:szCs w:val="24"/>
        </w:rPr>
        <w:t xml:space="preserve"> </w:t>
      </w:r>
      <w:r w:rsidR="007533AA" w:rsidRPr="00D50E55">
        <w:rPr>
          <w:rFonts w:cstheme="minorHAnsi"/>
          <w:sz w:val="24"/>
          <w:szCs w:val="24"/>
        </w:rPr>
        <w:t>Motiver et décrire les enjeux du problème consistant à résoudre symboliquement les équations différentielles linéaires du premier ordre.</w:t>
      </w:r>
    </w:p>
    <w:p w:rsidR="00C56A87" w:rsidRDefault="00C56A87" w:rsidP="00077CB3">
      <w:pPr>
        <w:autoSpaceDE w:val="0"/>
        <w:autoSpaceDN w:val="0"/>
        <w:adjustRightInd w:val="0"/>
        <w:spacing w:after="120" w:line="480" w:lineRule="auto"/>
        <w:jc w:val="both"/>
        <w:rPr>
          <w:rFonts w:cstheme="minorHAnsi"/>
          <w:sz w:val="24"/>
          <w:szCs w:val="24"/>
        </w:rPr>
      </w:pPr>
      <w:r w:rsidRPr="00D50E55">
        <w:rPr>
          <w:rFonts w:cstheme="minorHAnsi"/>
          <w:b/>
          <w:bCs/>
          <w:color w:val="0070C0"/>
          <w:sz w:val="24"/>
          <w:szCs w:val="24"/>
        </w:rPr>
        <w:t>3.</w:t>
      </w:r>
      <w:r w:rsidRPr="00D50E55">
        <w:rPr>
          <w:rFonts w:cstheme="minorHAnsi"/>
          <w:color w:val="0070C0"/>
          <w:sz w:val="24"/>
          <w:szCs w:val="24"/>
        </w:rPr>
        <w:t xml:space="preserve"> </w:t>
      </w:r>
      <w:r w:rsidR="00077CB3">
        <w:rPr>
          <w:rFonts w:cstheme="minorHAnsi"/>
          <w:sz w:val="24"/>
          <w:szCs w:val="24"/>
        </w:rPr>
        <w:t>Soit comme problème l’étude du</w:t>
      </w:r>
      <w:r w:rsidRPr="00D50E55">
        <w:rPr>
          <w:rFonts w:cstheme="minorHAnsi"/>
          <w:sz w:val="24"/>
          <w:szCs w:val="24"/>
        </w:rPr>
        <w:t xml:space="preserve"> </w:t>
      </w:r>
      <w:r w:rsidR="00077CB3" w:rsidRPr="00077CB3">
        <w:rPr>
          <w:rFonts w:cstheme="minorHAnsi"/>
          <w:sz w:val="24"/>
          <w:szCs w:val="24"/>
        </w:rPr>
        <w:t>Modèles de Markov cachés</w:t>
      </w:r>
      <w:r w:rsidRPr="00D50E55">
        <w:rPr>
          <w:rFonts w:cstheme="minorHAnsi"/>
          <w:sz w:val="24"/>
          <w:szCs w:val="24"/>
        </w:rPr>
        <w:t>. Donner, à votre propre niveau, l’état de l’art concernant ce problème.</w:t>
      </w:r>
    </w:p>
    <w:p w:rsidR="0035669B" w:rsidRPr="0035669B" w:rsidRDefault="0035669B" w:rsidP="0035669B">
      <w:pPr>
        <w:autoSpaceDE w:val="0"/>
        <w:autoSpaceDN w:val="0"/>
        <w:adjustRightInd w:val="0"/>
        <w:spacing w:after="120"/>
        <w:jc w:val="both"/>
        <w:rPr>
          <w:rFonts w:cstheme="minorHAnsi"/>
          <w:sz w:val="24"/>
          <w:szCs w:val="24"/>
        </w:rPr>
      </w:pPr>
      <w:r w:rsidRPr="0035669B">
        <w:rPr>
          <w:rFonts w:cstheme="minorHAnsi"/>
          <w:b/>
          <w:bCs/>
          <w:color w:val="0070C0"/>
          <w:sz w:val="24"/>
          <w:szCs w:val="24"/>
        </w:rPr>
        <w:t>4.</w:t>
      </w:r>
      <w:r>
        <w:rPr>
          <w:rFonts w:cstheme="minorHAnsi"/>
          <w:b/>
          <w:bCs/>
          <w:color w:val="00B050"/>
          <w:sz w:val="24"/>
          <w:szCs w:val="24"/>
        </w:rPr>
        <w:t xml:space="preserve"> </w:t>
      </w:r>
      <w:r w:rsidRPr="0035669B">
        <w:rPr>
          <w:rFonts w:cstheme="minorHAnsi"/>
          <w:sz w:val="24"/>
          <w:szCs w:val="24"/>
        </w:rPr>
        <w:t>Que pouvez-vous dire de la diffusion et de l’impact du résultat ci-dessous?</w:t>
      </w:r>
    </w:p>
    <w:p w:rsidR="0035669B" w:rsidRDefault="0035669B" w:rsidP="0035669B">
      <w:pPr>
        <w:autoSpaceDE w:val="0"/>
        <w:autoSpaceDN w:val="0"/>
        <w:adjustRightInd w:val="0"/>
        <w:spacing w:after="120"/>
        <w:jc w:val="both"/>
        <w:rPr>
          <w:rFonts w:cstheme="minorHAnsi"/>
          <w:sz w:val="24"/>
          <w:szCs w:val="24"/>
        </w:rPr>
      </w:pPr>
      <w:r w:rsidRPr="0035669B">
        <w:rPr>
          <w:rFonts w:cstheme="minorHAnsi"/>
          <w:b/>
          <w:bCs/>
          <w:sz w:val="24"/>
          <w:szCs w:val="24"/>
        </w:rPr>
        <w:t>Théorème (Appel-</w:t>
      </w:r>
      <w:proofErr w:type="spellStart"/>
      <w:r w:rsidRPr="0035669B">
        <w:rPr>
          <w:rFonts w:cstheme="minorHAnsi"/>
          <w:b/>
          <w:bCs/>
          <w:sz w:val="24"/>
          <w:szCs w:val="24"/>
        </w:rPr>
        <w:t>Haken</w:t>
      </w:r>
      <w:proofErr w:type="spellEnd"/>
      <w:r w:rsidRPr="0035669B">
        <w:rPr>
          <w:rFonts w:cstheme="minorHAnsi"/>
          <w:b/>
          <w:bCs/>
          <w:sz w:val="24"/>
          <w:szCs w:val="24"/>
        </w:rPr>
        <w:t>, 1976).</w:t>
      </w:r>
      <w:r w:rsidRPr="0035669B">
        <w:rPr>
          <w:rFonts w:cstheme="minorHAnsi"/>
          <w:sz w:val="24"/>
          <w:szCs w:val="24"/>
        </w:rPr>
        <w:t xml:space="preserve"> </w:t>
      </w:r>
    </w:p>
    <w:p w:rsidR="0035669B" w:rsidRPr="0035669B" w:rsidRDefault="0035669B" w:rsidP="0035669B">
      <w:pPr>
        <w:autoSpaceDE w:val="0"/>
        <w:autoSpaceDN w:val="0"/>
        <w:adjustRightInd w:val="0"/>
        <w:spacing w:after="120"/>
        <w:jc w:val="both"/>
        <w:rPr>
          <w:rFonts w:ascii="GaramondPremrPro-It" w:hAnsi="GaramondPremrPro-It" w:cs="GaramondPremrPro-It"/>
          <w:sz w:val="24"/>
          <w:szCs w:val="24"/>
        </w:rPr>
      </w:pPr>
      <w:r w:rsidRPr="0035669B">
        <w:rPr>
          <w:rFonts w:cstheme="minorHAnsi"/>
          <w:sz w:val="24"/>
          <w:szCs w:val="24"/>
        </w:rPr>
        <w:t>Quatre couleurs suffisent à colorier les sommets de tout graphe planaire de sorte qu’aucun couple de sommets adjacents n’ait la même couleur.</w:t>
      </w:r>
    </w:p>
    <w:p w:rsidR="0035669B" w:rsidRDefault="0035669B" w:rsidP="0035669B">
      <w:pPr>
        <w:autoSpaceDE w:val="0"/>
        <w:autoSpaceDN w:val="0"/>
        <w:adjustRightInd w:val="0"/>
        <w:spacing w:after="120"/>
        <w:rPr>
          <w:rFonts w:cstheme="minorHAnsi"/>
          <w:sz w:val="24"/>
          <w:szCs w:val="24"/>
        </w:rPr>
      </w:pPr>
      <w:r w:rsidRPr="0035669B">
        <w:rPr>
          <w:rFonts w:cstheme="minorHAnsi"/>
          <w:b/>
          <w:bCs/>
          <w:color w:val="0070C0"/>
          <w:sz w:val="24"/>
          <w:szCs w:val="24"/>
        </w:rPr>
        <w:t>5.</w:t>
      </w:r>
      <w:r>
        <w:rPr>
          <w:rFonts w:cstheme="minorHAnsi"/>
          <w:sz w:val="24"/>
          <w:szCs w:val="24"/>
        </w:rPr>
        <w:t xml:space="preserve"> </w:t>
      </w:r>
      <w:r w:rsidRPr="0035669B">
        <w:rPr>
          <w:rFonts w:cstheme="minorHAnsi"/>
          <w:sz w:val="24"/>
          <w:szCs w:val="24"/>
        </w:rPr>
        <w:t>Vous êtes le premier à démontrer que toute suite réelle croissante majorée admet une limite. Expliquez cette contribution à un non spécialiste.</w:t>
      </w:r>
    </w:p>
    <w:p w:rsidR="00077CB3" w:rsidRDefault="00077CB3" w:rsidP="0035669B">
      <w:pPr>
        <w:autoSpaceDE w:val="0"/>
        <w:autoSpaceDN w:val="0"/>
        <w:adjustRightInd w:val="0"/>
        <w:spacing w:after="120"/>
        <w:rPr>
          <w:rFonts w:cstheme="minorHAnsi"/>
          <w:sz w:val="24"/>
          <w:szCs w:val="24"/>
        </w:rPr>
      </w:pPr>
    </w:p>
    <w:p w:rsidR="00077CB3" w:rsidRDefault="00077CB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:rsidR="00077CB3" w:rsidRPr="00077CB3" w:rsidRDefault="00077CB3" w:rsidP="00077CB3">
      <w:pPr>
        <w:autoSpaceDE w:val="0"/>
        <w:autoSpaceDN w:val="0"/>
        <w:adjustRightInd w:val="0"/>
        <w:spacing w:after="120"/>
        <w:jc w:val="center"/>
        <w:rPr>
          <w:rFonts w:cstheme="minorHAnsi"/>
          <w:color w:val="0070C0"/>
          <w:sz w:val="28"/>
          <w:szCs w:val="28"/>
        </w:rPr>
      </w:pPr>
      <w:r w:rsidRPr="00077CB3">
        <w:rPr>
          <w:rFonts w:cstheme="minorHAnsi"/>
          <w:color w:val="0070C0"/>
          <w:sz w:val="28"/>
          <w:szCs w:val="28"/>
        </w:rPr>
        <w:lastRenderedPageBreak/>
        <w:t>Exemples de thèmes de Recherche en Probabilités et Statistique</w:t>
      </w:r>
    </w:p>
    <w:tbl>
      <w:tblPr>
        <w:tblStyle w:val="Grilledutableau"/>
        <w:bidiVisual/>
        <w:tblW w:w="8306" w:type="dxa"/>
        <w:tblInd w:w="-34" w:type="dxa"/>
        <w:tblLook w:val="04A0" w:firstRow="1" w:lastRow="0" w:firstColumn="1" w:lastColumn="0" w:noHBand="0" w:noVBand="1"/>
      </w:tblPr>
      <w:tblGrid>
        <w:gridCol w:w="8306"/>
      </w:tblGrid>
      <w:tr w:rsidR="00077CB3" w:rsidRPr="001C014E" w:rsidTr="00077CB3">
        <w:trPr>
          <w:trHeight w:val="408"/>
        </w:trPr>
        <w:tc>
          <w:tcPr>
            <w:tcW w:w="8306" w:type="dxa"/>
            <w:vMerge w:val="restart"/>
          </w:tcPr>
          <w:p w:rsidR="00077CB3" w:rsidRPr="001C014E" w:rsidRDefault="00077CB3" w:rsidP="006912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C014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عنوان البحث</w:t>
            </w:r>
          </w:p>
        </w:tc>
      </w:tr>
      <w:tr w:rsidR="00077CB3" w:rsidRPr="001C014E" w:rsidTr="00077CB3">
        <w:trPr>
          <w:trHeight w:val="460"/>
        </w:trPr>
        <w:tc>
          <w:tcPr>
            <w:tcW w:w="8306" w:type="dxa"/>
            <w:vMerge/>
          </w:tcPr>
          <w:p w:rsidR="00077CB3" w:rsidRPr="001C014E" w:rsidRDefault="00077CB3" w:rsidP="006912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077CB3" w:rsidRPr="001C014E" w:rsidTr="00077CB3">
        <w:trPr>
          <w:trHeight w:val="526"/>
        </w:trPr>
        <w:tc>
          <w:tcPr>
            <w:tcW w:w="8306" w:type="dxa"/>
          </w:tcPr>
          <w:p w:rsidR="00077CB3" w:rsidRPr="001C014E" w:rsidRDefault="00077CB3" w:rsidP="00691295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L’a</w:t>
            </w:r>
            <w:r w:rsidRPr="001C014E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 xml:space="preserve">nalyse de </w:t>
            </w:r>
            <w:r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 xml:space="preserve">la </w:t>
            </w:r>
            <w:r w:rsidRPr="001C014E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variance et</w:t>
            </w:r>
            <w:r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 xml:space="preserve"> l’analyse de la covariance à deux facteurs.</w:t>
            </w:r>
          </w:p>
        </w:tc>
      </w:tr>
      <w:tr w:rsidR="00077CB3" w:rsidRPr="001C014E" w:rsidTr="00077CB3">
        <w:trPr>
          <w:trHeight w:val="548"/>
        </w:trPr>
        <w:tc>
          <w:tcPr>
            <w:tcW w:w="8306" w:type="dxa"/>
          </w:tcPr>
          <w:p w:rsidR="00077CB3" w:rsidRPr="001C014E" w:rsidRDefault="00077CB3" w:rsidP="00691295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  <w:r w:rsidRPr="001C014E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Modèles de Markov cachés ; Application en biologie</w:t>
            </w:r>
          </w:p>
        </w:tc>
      </w:tr>
      <w:tr w:rsidR="00077CB3" w:rsidRPr="001C014E" w:rsidTr="00077CB3">
        <w:trPr>
          <w:trHeight w:val="414"/>
        </w:trPr>
        <w:tc>
          <w:tcPr>
            <w:tcW w:w="8306" w:type="dxa"/>
          </w:tcPr>
          <w:p w:rsidR="00077CB3" w:rsidRPr="001C014E" w:rsidRDefault="00077CB3" w:rsidP="00691295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  <w:r w:rsidRPr="001C014E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 xml:space="preserve">Sur </w:t>
            </w:r>
            <w:r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les modèles autorégressifs à seuils.</w:t>
            </w:r>
          </w:p>
        </w:tc>
      </w:tr>
      <w:tr w:rsidR="00077CB3" w:rsidRPr="001C014E" w:rsidTr="00077CB3">
        <w:trPr>
          <w:trHeight w:val="420"/>
        </w:trPr>
        <w:tc>
          <w:tcPr>
            <w:tcW w:w="8306" w:type="dxa"/>
          </w:tcPr>
          <w:p w:rsidR="00077CB3" w:rsidRPr="001C014E" w:rsidRDefault="00077CB3" w:rsidP="00691295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  <w:proofErr w:type="gramStart"/>
            <w:r w:rsidRPr="001C014E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Estimation  Bayésienne</w:t>
            </w:r>
            <w:proofErr w:type="gramEnd"/>
            <w:r w:rsidRPr="001C014E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 : Méthodes numériques.</w:t>
            </w:r>
          </w:p>
        </w:tc>
      </w:tr>
      <w:tr w:rsidR="00077CB3" w:rsidRPr="001C014E" w:rsidTr="00077CB3">
        <w:trPr>
          <w:trHeight w:val="412"/>
        </w:trPr>
        <w:tc>
          <w:tcPr>
            <w:tcW w:w="8306" w:type="dxa"/>
          </w:tcPr>
          <w:p w:rsidR="00077CB3" w:rsidRPr="001C014E" w:rsidRDefault="00077CB3" w:rsidP="00691295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  <w:r w:rsidRPr="001C014E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Utilité de la prédiction dans la planification expérimentale</w:t>
            </w:r>
          </w:p>
        </w:tc>
      </w:tr>
      <w:tr w:rsidR="00077CB3" w:rsidRPr="001C014E" w:rsidTr="00077CB3">
        <w:trPr>
          <w:trHeight w:val="418"/>
        </w:trPr>
        <w:tc>
          <w:tcPr>
            <w:tcW w:w="8306" w:type="dxa"/>
          </w:tcPr>
          <w:p w:rsidR="00077CB3" w:rsidRPr="001C014E" w:rsidRDefault="00077CB3" w:rsidP="00691295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  <w:r w:rsidRPr="001C014E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Sur l’optimalité des plans d’expériences</w:t>
            </w:r>
          </w:p>
        </w:tc>
      </w:tr>
      <w:tr w:rsidR="00077CB3" w:rsidRPr="001C014E" w:rsidTr="00077CB3">
        <w:trPr>
          <w:trHeight w:val="410"/>
        </w:trPr>
        <w:tc>
          <w:tcPr>
            <w:tcW w:w="8306" w:type="dxa"/>
          </w:tcPr>
          <w:p w:rsidR="00077CB3" w:rsidRPr="001C014E" w:rsidRDefault="00077CB3" w:rsidP="00691295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Comparaison de la fiabilité des systèmes mixtes</w:t>
            </w:r>
            <w:r w:rsidRPr="001C014E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.</w:t>
            </w:r>
          </w:p>
        </w:tc>
      </w:tr>
      <w:tr w:rsidR="00077CB3" w:rsidRPr="001C014E" w:rsidTr="00077CB3">
        <w:trPr>
          <w:trHeight w:val="644"/>
        </w:trPr>
        <w:tc>
          <w:tcPr>
            <w:tcW w:w="8306" w:type="dxa"/>
          </w:tcPr>
          <w:p w:rsidR="00077CB3" w:rsidRPr="001C014E" w:rsidRDefault="00077CB3" w:rsidP="00691295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  <w:r w:rsidRPr="001C014E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Propriétés asymptotiques d’estimateurs non paramétriques de la distribution des données censurées.</w:t>
            </w:r>
          </w:p>
        </w:tc>
      </w:tr>
      <w:tr w:rsidR="00077CB3" w:rsidRPr="001C014E" w:rsidTr="00077CB3">
        <w:trPr>
          <w:trHeight w:val="482"/>
        </w:trPr>
        <w:tc>
          <w:tcPr>
            <w:tcW w:w="8306" w:type="dxa"/>
          </w:tcPr>
          <w:p w:rsidR="00077CB3" w:rsidRPr="001C014E" w:rsidRDefault="00077CB3" w:rsidP="00691295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  <w:r w:rsidRPr="001C014E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 xml:space="preserve">Etude des modèles autorégressifs à erreur </w:t>
            </w:r>
            <w:r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G</w:t>
            </w:r>
            <w:r w:rsidRPr="001C014E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ARCH</w:t>
            </w:r>
          </w:p>
        </w:tc>
      </w:tr>
      <w:tr w:rsidR="00077CB3" w:rsidRPr="001C014E" w:rsidTr="00077CB3">
        <w:trPr>
          <w:trHeight w:val="546"/>
        </w:trPr>
        <w:tc>
          <w:tcPr>
            <w:tcW w:w="8306" w:type="dxa"/>
          </w:tcPr>
          <w:p w:rsidR="00077CB3" w:rsidRPr="001C014E" w:rsidRDefault="00077CB3" w:rsidP="00691295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Les inégalités exponentielles dans l’estimation fonctionnelle</w:t>
            </w:r>
            <w:r w:rsidRPr="001C014E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 xml:space="preserve"> non paramétrique.</w:t>
            </w:r>
          </w:p>
        </w:tc>
      </w:tr>
      <w:tr w:rsidR="00077CB3" w:rsidRPr="001C014E" w:rsidTr="00077CB3">
        <w:trPr>
          <w:trHeight w:val="412"/>
        </w:trPr>
        <w:tc>
          <w:tcPr>
            <w:tcW w:w="8306" w:type="dxa"/>
          </w:tcPr>
          <w:p w:rsidR="00077CB3" w:rsidRPr="001C014E" w:rsidRDefault="00077CB3" w:rsidP="00691295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</w:pPr>
            <w:r w:rsidRPr="001C014E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Sur l’estimation des copules.</w:t>
            </w:r>
          </w:p>
        </w:tc>
      </w:tr>
    </w:tbl>
    <w:p w:rsidR="0035669B" w:rsidRPr="00D50E55" w:rsidRDefault="0035669B" w:rsidP="00C56A87">
      <w:pPr>
        <w:autoSpaceDE w:val="0"/>
        <w:autoSpaceDN w:val="0"/>
        <w:adjustRightInd w:val="0"/>
        <w:spacing w:after="120" w:line="480" w:lineRule="auto"/>
        <w:jc w:val="both"/>
        <w:rPr>
          <w:rFonts w:cstheme="minorHAnsi"/>
          <w:sz w:val="24"/>
          <w:szCs w:val="24"/>
        </w:rPr>
      </w:pPr>
    </w:p>
    <w:p w:rsidR="00C56A87" w:rsidRPr="00C0189A" w:rsidRDefault="00C56A87" w:rsidP="007533AA">
      <w:pPr>
        <w:autoSpaceDE w:val="0"/>
        <w:autoSpaceDN w:val="0"/>
        <w:adjustRightInd w:val="0"/>
        <w:spacing w:after="120"/>
        <w:jc w:val="both"/>
        <w:rPr>
          <w:rFonts w:cstheme="minorHAnsi"/>
          <w:sz w:val="24"/>
          <w:szCs w:val="24"/>
        </w:rPr>
      </w:pPr>
    </w:p>
    <w:p w:rsidR="004D0699" w:rsidRPr="007533AA" w:rsidRDefault="004D0699" w:rsidP="007533AA"/>
    <w:sectPr w:rsidR="004D0699" w:rsidRPr="007533AA" w:rsidSect="00852FE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PremrPro-Smb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PremrPro-I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066E64"/>
    <w:multiLevelType w:val="hybridMultilevel"/>
    <w:tmpl w:val="92BEFAB0"/>
    <w:lvl w:ilvl="0" w:tplc="94FADE2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804919"/>
    <w:multiLevelType w:val="multilevel"/>
    <w:tmpl w:val="271EE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3B0FA2"/>
    <w:multiLevelType w:val="multilevel"/>
    <w:tmpl w:val="D1706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C67AA0"/>
    <w:rsid w:val="00077CB3"/>
    <w:rsid w:val="00096EEB"/>
    <w:rsid w:val="000D1985"/>
    <w:rsid w:val="001A264F"/>
    <w:rsid w:val="002D7EFD"/>
    <w:rsid w:val="0035669B"/>
    <w:rsid w:val="003F747B"/>
    <w:rsid w:val="004B3A57"/>
    <w:rsid w:val="004D0699"/>
    <w:rsid w:val="004F0D4F"/>
    <w:rsid w:val="00602510"/>
    <w:rsid w:val="00631038"/>
    <w:rsid w:val="00652740"/>
    <w:rsid w:val="007533AA"/>
    <w:rsid w:val="007E5FC4"/>
    <w:rsid w:val="00852FEE"/>
    <w:rsid w:val="00907DFA"/>
    <w:rsid w:val="00916329"/>
    <w:rsid w:val="009526BF"/>
    <w:rsid w:val="009E0072"/>
    <w:rsid w:val="00AF4E29"/>
    <w:rsid w:val="00BB5F4A"/>
    <w:rsid w:val="00C56A87"/>
    <w:rsid w:val="00C67AA0"/>
    <w:rsid w:val="00CC50D0"/>
    <w:rsid w:val="00CF1534"/>
    <w:rsid w:val="00D50E55"/>
    <w:rsid w:val="00E41F71"/>
    <w:rsid w:val="00E86269"/>
    <w:rsid w:val="00EB50C0"/>
    <w:rsid w:val="00FD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E22E6C92-C60E-4EA7-8078-D79F590EF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FEE"/>
  </w:style>
  <w:style w:type="paragraph" w:styleId="Titre3">
    <w:name w:val="heading 3"/>
    <w:basedOn w:val="Normal"/>
    <w:link w:val="Titre3Car"/>
    <w:uiPriority w:val="9"/>
    <w:qFormat/>
    <w:rsid w:val="004D06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A264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A264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C67AA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4D0699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1A264F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A264F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Web">
    <w:name w:val="Normal (Web)"/>
    <w:basedOn w:val="Normal"/>
    <w:uiPriority w:val="99"/>
    <w:semiHidden/>
    <w:unhideWhenUsed/>
    <w:rsid w:val="001A2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katex-mathml">
    <w:name w:val="katex-mathml"/>
    <w:basedOn w:val="Policepardfaut"/>
    <w:rsid w:val="001A264F"/>
  </w:style>
  <w:style w:type="character" w:customStyle="1" w:styleId="mord">
    <w:name w:val="mord"/>
    <w:basedOn w:val="Policepardfaut"/>
    <w:rsid w:val="001A264F"/>
  </w:style>
  <w:style w:type="character" w:styleId="lev">
    <w:name w:val="Strong"/>
    <w:basedOn w:val="Policepardfaut"/>
    <w:uiPriority w:val="22"/>
    <w:qFormat/>
    <w:rsid w:val="001A264F"/>
    <w:rPr>
      <w:b/>
      <w:bCs/>
    </w:rPr>
  </w:style>
  <w:style w:type="character" w:customStyle="1" w:styleId="vlist-s">
    <w:name w:val="vlist-s"/>
    <w:basedOn w:val="Policepardfaut"/>
    <w:rsid w:val="001A264F"/>
  </w:style>
  <w:style w:type="character" w:customStyle="1" w:styleId="overflow-hidden">
    <w:name w:val="overflow-hidden"/>
    <w:basedOn w:val="Policepardfaut"/>
    <w:rsid w:val="001A264F"/>
  </w:style>
  <w:style w:type="character" w:customStyle="1" w:styleId="mopen">
    <w:name w:val="mopen"/>
    <w:basedOn w:val="Policepardfaut"/>
    <w:rsid w:val="001A264F"/>
  </w:style>
  <w:style w:type="character" w:customStyle="1" w:styleId="mclose">
    <w:name w:val="mclose"/>
    <w:basedOn w:val="Policepardfaut"/>
    <w:rsid w:val="001A264F"/>
  </w:style>
  <w:style w:type="character" w:customStyle="1" w:styleId="mbin">
    <w:name w:val="mbin"/>
    <w:basedOn w:val="Policepardfaut"/>
    <w:rsid w:val="001A264F"/>
  </w:style>
  <w:style w:type="character" w:customStyle="1" w:styleId="mrel">
    <w:name w:val="mrel"/>
    <w:basedOn w:val="Policepardfaut"/>
    <w:rsid w:val="001A264F"/>
  </w:style>
  <w:style w:type="paragraph" w:styleId="Paragraphedeliste">
    <w:name w:val="List Paragraph"/>
    <w:basedOn w:val="Normal"/>
    <w:uiPriority w:val="34"/>
    <w:qFormat/>
    <w:rsid w:val="00077CB3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077CB3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077CB3"/>
    <w:rPr>
      <w:color w:val="808080"/>
    </w:rPr>
  </w:style>
  <w:style w:type="table" w:styleId="Grilledutableau">
    <w:name w:val="Table Grid"/>
    <w:basedOn w:val="TableauNormal"/>
    <w:uiPriority w:val="59"/>
    <w:rsid w:val="00077CB3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5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1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0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8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34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8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476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55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549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483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195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61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1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476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45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884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5687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02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044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3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125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422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79503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82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002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223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71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77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66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89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12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963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518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419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95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0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75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79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13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038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22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9146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49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3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85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237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966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2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learning.univ-jijel.dz/course/view.php?id=410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260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KONAMii</dc:creator>
  <cp:lastModifiedBy>ZCS</cp:lastModifiedBy>
  <cp:revision>14</cp:revision>
  <dcterms:created xsi:type="dcterms:W3CDTF">2021-10-17T06:08:00Z</dcterms:created>
  <dcterms:modified xsi:type="dcterms:W3CDTF">2025-10-14T15:03:00Z</dcterms:modified>
</cp:coreProperties>
</file>