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F1F" w:rsidRDefault="00187F1F" w:rsidP="00187F1F">
      <w:pPr>
        <w:spacing w:after="0"/>
        <w:ind w:left="-625" w:right="-709"/>
        <w:rPr>
          <w:rFonts w:ascii="Simplified Arabic" w:hAnsi="Simplified Arabic" w:cs="Simplified Arabic" w:hint="cs"/>
          <w:b/>
          <w:bCs/>
          <w:sz w:val="32"/>
          <w:szCs w:val="32"/>
          <w:u w:val="single"/>
          <w:rtl/>
          <w:lang w:bidi="ar-DZ"/>
        </w:rPr>
      </w:pPr>
      <w:r>
        <w:rPr>
          <w:rFonts w:ascii="Simplified Arabic" w:hAnsi="Simplified Arabic" w:cs="Simplified Arabic"/>
          <w:b/>
          <w:bCs/>
          <w:sz w:val="32"/>
          <w:szCs w:val="32"/>
          <w:u w:val="single"/>
          <w:rtl/>
          <w:lang w:bidi="ar-DZ"/>
        </w:rPr>
        <w:t>الدكتور/ كامل فؤاد</w:t>
      </w:r>
    </w:p>
    <w:p w:rsidR="001D5133" w:rsidRDefault="001D5133" w:rsidP="001D5133">
      <w:pPr>
        <w:bidi/>
        <w:spacing w:after="0"/>
        <w:ind w:left="-625" w:right="-709"/>
        <w:rPr>
          <w:rFonts w:ascii="Simplified Arabic" w:hAnsi="Simplified Arabic" w:cs="Simplified Arabic" w:hint="cs"/>
          <w:b/>
          <w:bCs/>
          <w:sz w:val="24"/>
          <w:szCs w:val="24"/>
          <w:rtl/>
          <w:lang w:bidi="ar-DZ"/>
        </w:rPr>
      </w:pPr>
      <w:r w:rsidRPr="001D5133">
        <w:rPr>
          <w:rFonts w:ascii="Simplified Arabic" w:hAnsi="Simplified Arabic" w:cs="Simplified Arabic" w:hint="cs"/>
          <w:b/>
          <w:bCs/>
          <w:sz w:val="24"/>
          <w:szCs w:val="24"/>
          <w:rtl/>
          <w:lang w:bidi="ar-DZ"/>
        </w:rPr>
        <w:t xml:space="preserve">السنة الجامعية/2025-2026 </w:t>
      </w:r>
    </w:p>
    <w:p w:rsidR="001D5133" w:rsidRPr="001D5133" w:rsidRDefault="001D5133" w:rsidP="001D5133">
      <w:pPr>
        <w:bidi/>
        <w:spacing w:after="0"/>
        <w:ind w:left="-625" w:right="-709"/>
        <w:rPr>
          <w:rFonts w:ascii="Simplified Arabic" w:hAnsi="Simplified Arabic" w:cs="Simplified Arabic" w:hint="cs"/>
          <w:b/>
          <w:bCs/>
          <w:sz w:val="24"/>
          <w:szCs w:val="24"/>
          <w:rtl/>
          <w:lang w:bidi="ar-DZ"/>
        </w:rPr>
      </w:pPr>
      <w:r w:rsidRPr="001D5133">
        <w:rPr>
          <w:rFonts w:ascii="Simplified Arabic" w:hAnsi="Simplified Arabic" w:cs="Simplified Arabic" w:hint="cs"/>
          <w:b/>
          <w:bCs/>
          <w:sz w:val="24"/>
          <w:szCs w:val="24"/>
          <w:rtl/>
          <w:lang w:bidi="ar-DZ"/>
        </w:rPr>
        <w:t>قسم: الحقوق</w:t>
      </w:r>
    </w:p>
    <w:p w:rsidR="00187F1F" w:rsidRPr="001D5133" w:rsidRDefault="00187F1F" w:rsidP="001D5133">
      <w:pPr>
        <w:bidi/>
        <w:spacing w:after="0"/>
        <w:ind w:left="-625" w:right="-709"/>
        <w:rPr>
          <w:rFonts w:ascii="Simplified Arabic" w:hAnsi="Simplified Arabic" w:cs="Simplified Arabic"/>
          <w:b/>
          <w:bCs/>
          <w:sz w:val="24"/>
          <w:szCs w:val="24"/>
          <w:u w:val="single"/>
          <w:rtl/>
          <w:lang w:bidi="ar-DZ"/>
        </w:rPr>
      </w:pPr>
      <w:r w:rsidRPr="001D5133">
        <w:rPr>
          <w:rFonts w:ascii="Simplified Arabic" w:hAnsi="Simplified Arabic" w:cs="Simplified Arabic"/>
          <w:b/>
          <w:bCs/>
          <w:sz w:val="24"/>
          <w:szCs w:val="24"/>
          <w:rtl/>
          <w:lang w:bidi="ar-DZ"/>
        </w:rPr>
        <w:t>السنة الثالثة: قانون خاص</w:t>
      </w:r>
    </w:p>
    <w:p w:rsidR="00187F1F" w:rsidRDefault="00187F1F" w:rsidP="001D5133">
      <w:pPr>
        <w:bidi/>
        <w:spacing w:after="0"/>
        <w:ind w:left="-625" w:right="-709"/>
        <w:jc w:val="center"/>
        <w:rPr>
          <w:rFonts w:ascii="Simplified Arabic" w:hAnsi="Simplified Arabic" w:cs="Simplified Arabic"/>
          <w:b/>
          <w:bCs/>
          <w:sz w:val="32"/>
          <w:szCs w:val="32"/>
          <w:u w:val="single"/>
          <w:rtl/>
          <w:lang w:bidi="ar-DZ"/>
        </w:rPr>
      </w:pPr>
      <w:r>
        <w:rPr>
          <w:rFonts w:ascii="Simplified Arabic" w:hAnsi="Simplified Arabic" w:cs="Simplified Arabic"/>
          <w:b/>
          <w:bCs/>
          <w:sz w:val="32"/>
          <w:szCs w:val="32"/>
          <w:u w:val="single"/>
          <w:rtl/>
          <w:lang w:bidi="ar-DZ"/>
        </w:rPr>
        <w:t xml:space="preserve">الموضوع </w:t>
      </w:r>
      <w:r w:rsidR="001D5133">
        <w:rPr>
          <w:rFonts w:ascii="Simplified Arabic" w:hAnsi="Simplified Arabic" w:cs="Simplified Arabic" w:hint="cs"/>
          <w:b/>
          <w:bCs/>
          <w:sz w:val="32"/>
          <w:szCs w:val="32"/>
          <w:u w:val="single"/>
          <w:rtl/>
          <w:lang w:bidi="ar-DZ"/>
        </w:rPr>
        <w:t>الخامس</w:t>
      </w:r>
      <w:r w:rsidR="001D5133">
        <w:rPr>
          <w:rFonts w:ascii="Simplified Arabic" w:hAnsi="Simplified Arabic" w:cs="Simplified Arabic"/>
          <w:b/>
          <w:bCs/>
          <w:sz w:val="32"/>
          <w:szCs w:val="32"/>
          <w:u w:val="single"/>
          <w:rtl/>
          <w:lang w:bidi="ar-DZ"/>
        </w:rPr>
        <w:t>: تفسير قواعد الإسنا</w:t>
      </w:r>
      <w:r w:rsidR="001D5133">
        <w:rPr>
          <w:rFonts w:ascii="Simplified Arabic" w:hAnsi="Simplified Arabic" w:cs="Simplified Arabic" w:hint="cs"/>
          <w:b/>
          <w:bCs/>
          <w:sz w:val="32"/>
          <w:szCs w:val="32"/>
          <w:u w:val="single"/>
          <w:rtl/>
          <w:lang w:bidi="ar-DZ"/>
        </w:rPr>
        <w:t xml:space="preserve">د: </w:t>
      </w:r>
      <w:r w:rsidR="001D5133">
        <w:rPr>
          <w:rFonts w:ascii="Simplified Arabic" w:hAnsi="Simplified Arabic" w:cs="Simplified Arabic"/>
          <w:b/>
          <w:bCs/>
          <w:sz w:val="32"/>
          <w:szCs w:val="32"/>
          <w:u w:val="single"/>
          <w:rtl/>
          <w:lang w:bidi="ar-DZ"/>
        </w:rPr>
        <w:t>التكييـــــف</w:t>
      </w:r>
    </w:p>
    <w:p w:rsidR="00187F1F" w:rsidRDefault="00187F1F" w:rsidP="00187F1F">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المبحث الأول: </w:t>
      </w:r>
      <w:r w:rsidR="001D5133">
        <w:rPr>
          <w:rFonts w:ascii="Simplified Arabic" w:hAnsi="Simplified Arabic" w:cs="Simplified Arabic" w:hint="cs"/>
          <w:b/>
          <w:bCs/>
          <w:sz w:val="28"/>
          <w:szCs w:val="28"/>
          <w:rtl/>
          <w:lang w:bidi="ar-DZ"/>
        </w:rPr>
        <w:t>مفهوم و</w:t>
      </w:r>
      <w:r w:rsidR="001D5133">
        <w:rPr>
          <w:rFonts w:ascii="Simplified Arabic" w:hAnsi="Simplified Arabic" w:cs="Simplified Arabic"/>
          <w:b/>
          <w:bCs/>
          <w:sz w:val="28"/>
          <w:szCs w:val="28"/>
          <w:rtl/>
          <w:lang w:bidi="ar-DZ"/>
        </w:rPr>
        <w:t xml:space="preserve">نشأة </w:t>
      </w:r>
      <w:r>
        <w:rPr>
          <w:rFonts w:ascii="Simplified Arabic" w:hAnsi="Simplified Arabic" w:cs="Simplified Arabic"/>
          <w:b/>
          <w:bCs/>
          <w:sz w:val="28"/>
          <w:szCs w:val="28"/>
          <w:rtl/>
          <w:lang w:bidi="ar-DZ"/>
        </w:rPr>
        <w:t>نظرية التكييف:</w:t>
      </w:r>
    </w:p>
    <w:p w:rsidR="00187F1F" w:rsidRDefault="00187F1F" w:rsidP="001D5133">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المطلب الأول: </w:t>
      </w:r>
      <w:r w:rsidR="001D5133">
        <w:rPr>
          <w:rFonts w:ascii="Simplified Arabic" w:hAnsi="Simplified Arabic" w:cs="Simplified Arabic" w:hint="cs"/>
          <w:b/>
          <w:bCs/>
          <w:sz w:val="28"/>
          <w:szCs w:val="28"/>
          <w:rtl/>
          <w:lang w:bidi="ar-DZ"/>
        </w:rPr>
        <w:t>تعريف</w:t>
      </w:r>
      <w:r>
        <w:rPr>
          <w:rFonts w:ascii="Simplified Arabic" w:hAnsi="Simplified Arabic" w:cs="Simplified Arabic"/>
          <w:b/>
          <w:bCs/>
          <w:sz w:val="28"/>
          <w:szCs w:val="28"/>
          <w:rtl/>
          <w:lang w:bidi="ar-DZ"/>
        </w:rPr>
        <w:t xml:space="preserve"> التكييف</w:t>
      </w:r>
    </w:p>
    <w:p w:rsidR="00187F1F" w:rsidRDefault="00187F1F" w:rsidP="00187F1F">
      <w:pPr>
        <w:bidi/>
        <w:spacing w:after="0"/>
        <w:ind w:left="-625" w:right="-709"/>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    التكييف مسألة أولية معروفة في القانون الداخلي، وكذلك في القانون الدولي الخاص، لكنه يؤدي إلى نتيجة مختلفة تماما في كليهما.</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الفرع الأول: التكييف في القانون الداخلي:</w:t>
      </w:r>
    </w:p>
    <w:p w:rsidR="00187F1F" w:rsidRDefault="00187F1F" w:rsidP="00187F1F">
      <w:pPr>
        <w:bidi/>
        <w:spacing w:after="0"/>
        <w:ind w:left="-625" w:right="-709"/>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    يعني التكييف في القانون الداخلي تحديد الطبيعة القانونية لواقعة أو عمل قانوني معين طبقا للقانون ولشرط تطبيقه. فهو ليس إلا مظهرا من مظاهر تفسير القانون.  ففي المواد الجزائية، يعطي قاضي التحقيق التكييف النهائي لوقائع القضية تحت رقابة غرفة الاتهام، فيقرر مثلا ما إذا كانت الوقائع تشكل جناية محاولة القتل أو مجرد جنحة الضرب والجرح العمدي، سرقة أم خيانة أمانة، ويقوم القاضي في المواد المدن</w:t>
      </w:r>
      <w:r w:rsidR="001D5133">
        <w:rPr>
          <w:rFonts w:ascii="Simplified Arabic" w:hAnsi="Simplified Arabic" w:cs="Simplified Arabic"/>
          <w:sz w:val="28"/>
          <w:szCs w:val="28"/>
          <w:rtl/>
          <w:lang w:bidi="ar-DZ"/>
        </w:rPr>
        <w:t>ية أيضا بنفس العملية</w:t>
      </w:r>
      <w:r>
        <w:rPr>
          <w:rFonts w:ascii="Simplified Arabic" w:hAnsi="Simplified Arabic" w:cs="Simplified Arabic"/>
          <w:sz w:val="28"/>
          <w:szCs w:val="28"/>
          <w:rtl/>
          <w:lang w:bidi="ar-DZ"/>
        </w:rPr>
        <w:t xml:space="preserve"> لأجل تحديد الوصف القانوني المناسب للتصرفات القانونية التي يضفي عليها</w:t>
      </w:r>
      <w:r w:rsidR="001D5133">
        <w:rPr>
          <w:rFonts w:ascii="Simplified Arabic" w:hAnsi="Simplified Arabic" w:cs="Simplified Arabic"/>
          <w:sz w:val="28"/>
          <w:szCs w:val="28"/>
          <w:rtl/>
          <w:lang w:bidi="ar-DZ"/>
        </w:rPr>
        <w:t xml:space="preserve"> المتعاقدان وصف قانوني غير صحيح</w:t>
      </w:r>
      <w:r w:rsidR="001D5133">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بسبب عدم معرفتهم للقوانين، كأن يقرر القاضي مثلا في</w:t>
      </w:r>
      <w:r w:rsidR="001D5133">
        <w:rPr>
          <w:rFonts w:ascii="Simplified Arabic" w:hAnsi="Simplified Arabic" w:cs="Simplified Arabic"/>
          <w:sz w:val="28"/>
          <w:szCs w:val="28"/>
          <w:rtl/>
          <w:lang w:bidi="ar-DZ"/>
        </w:rPr>
        <w:t xml:space="preserve"> حالة توريد المقاول لمادة العمل</w:t>
      </w:r>
      <w:r>
        <w:rPr>
          <w:rFonts w:ascii="Simplified Arabic" w:hAnsi="Simplified Arabic" w:cs="Simplified Arabic"/>
          <w:sz w:val="28"/>
          <w:szCs w:val="28"/>
          <w:rtl/>
          <w:lang w:bidi="ar-DZ"/>
        </w:rPr>
        <w:t xml:space="preserve"> ما إذا كان العقد مقاولة أم بيعا. </w:t>
      </w:r>
    </w:p>
    <w:p w:rsidR="00187F1F" w:rsidRDefault="00187F1F" w:rsidP="00187F1F">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الفرع الثاني: التكييف في القانون الدولي الخاص</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التكييف في القانون الدولي الخاص هو تحديد طبيعة العلاقة القانونية التي تتنازعها القوانين وإعطائها الوصف القانوني الملائم، لإدراجها في فئة من فئات الإسناد التي خصها المشرع بقاعدة إسناد محددة، تمهيدا لإسنادها إلى قانون معين.</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وبذلك يختلف التكييف الدولي الخاص عن التكييف في القانون الداخلي، فإذا كان هذا الأخير يهدف إلى معرفة الأحكام الموضوعية التي يجب تطبيقها على تصرف قانوني معين، فإن التكييف في نطاق القانون الدولي الخاص يهدف إلى تحديد الفئة القانونية التي تندرج تحتها المسألة  القانونية محل النزاع، لأجل إخضاعها إلى قانون معين يحكمها.</w:t>
      </w:r>
    </w:p>
    <w:p w:rsidR="001D5133" w:rsidRDefault="00187F1F" w:rsidP="00187F1F">
      <w:pPr>
        <w:bidi/>
        <w:spacing w:after="0"/>
        <w:ind w:left="-625" w:right="-709"/>
        <w:jc w:val="both"/>
        <w:rPr>
          <w:rFonts w:ascii="Simplified Arabic" w:hAnsi="Simplified Arabic" w:cs="Simplified Arabic" w:hint="cs"/>
          <w:sz w:val="28"/>
          <w:szCs w:val="28"/>
          <w:rtl/>
          <w:lang w:bidi="ar-DZ"/>
        </w:rPr>
      </w:pPr>
      <w:r>
        <w:rPr>
          <w:rFonts w:ascii="Simplified Arabic" w:hAnsi="Simplified Arabic" w:cs="Simplified Arabic"/>
          <w:sz w:val="28"/>
          <w:szCs w:val="28"/>
          <w:rtl/>
          <w:lang w:bidi="ar-DZ"/>
        </w:rPr>
        <w:lastRenderedPageBreak/>
        <w:t xml:space="preserve">    التكييف بهذا المعنى يعتبر عملية أولية ضرورية لمعرفة القانون الواجب التطبيق على النزاع المشتمل على عنصر أجنبي. أي أنه يسبق عملية الإسناد التي تعتبر عملية لاحقة للتكييف.</w:t>
      </w:r>
    </w:p>
    <w:p w:rsidR="00187F1F" w:rsidRDefault="00187F1F" w:rsidP="001D5133">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المطلب الثاني: نشأة وتطور نظرية التكييف</w:t>
      </w:r>
    </w:p>
    <w:p w:rsidR="00187F1F" w:rsidRDefault="00187F1F" w:rsidP="00187F1F">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الفرع الأول: نشأة فكرة التكييف:</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يعتبر الفقيه ديمولان أول من ألقى الضوء على مسألة التكييف في أواخر القرن الخامس عشر</w:t>
      </w:r>
      <w:r>
        <w:rPr>
          <w:rStyle w:val="Appelnotedebasdep"/>
          <w:rFonts w:ascii="Simplified Arabic" w:hAnsi="Simplified Arabic" w:cs="Simplified Arabic"/>
          <w:sz w:val="28"/>
          <w:szCs w:val="28"/>
          <w:rtl/>
          <w:lang w:bidi="ar-DZ"/>
        </w:rPr>
        <w:footnoteReference w:id="2"/>
      </w:r>
      <w:r>
        <w:rPr>
          <w:rFonts w:ascii="Simplified Arabic" w:hAnsi="Simplified Arabic" w:cs="Simplified Arabic"/>
          <w:sz w:val="28"/>
          <w:szCs w:val="28"/>
          <w:rtl/>
          <w:lang w:bidi="ar-DZ"/>
        </w:rPr>
        <w:t>، وذلك بمناسبة تكييفه المشارطات المالية التي تصحب الزواج(النظام المالي للزوجين)، حيث اعتبره بمثابة عقد ضمني، وبالتالي يخضع لقانون الموطن المشترك للزوجين، غير أن اسمه اقترن الفقيهان فرنسوا كاهن في ألمانيا سنة 1891 وبارتان سنة 1897، اللذان توصلا في أبحاثهما إلى نفس النتائج دون أن يطلع أحدهما على أبحاث الآخر.</w:t>
      </w:r>
    </w:p>
    <w:p w:rsidR="00187F1F" w:rsidRDefault="00187F1F" w:rsidP="00187F1F">
      <w:pPr>
        <w:bidi/>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وترجع صعوبة التكييف إلى تعدد واختلاف الأنظمة القانونية الداخلية للدول بشأن مسألة قانونية معينة، وهذا راجع بدوره لاختلاف الأفكار والمفاهيم السائدة فيها، مما يطرح مشكل إخلاف التكييفات، فالقضية الجوهرية التي تفرض نفسها، تتمثل في تنازع التكييفات وليس التكييف في حد ذاته.  </w:t>
      </w:r>
    </w:p>
    <w:p w:rsidR="00187F1F" w:rsidRDefault="00187F1F" w:rsidP="00187F1F">
      <w:pPr>
        <w:bidi/>
        <w:spacing w:after="0" w:line="240" w:lineRule="auto"/>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الفرع الثاني: التكييف في القضاء الفرنسي:</w:t>
      </w:r>
    </w:p>
    <w:p w:rsidR="00187F1F" w:rsidRDefault="00187F1F" w:rsidP="00187F1F">
      <w:pPr>
        <w:bidi/>
        <w:spacing w:before="240"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نتعرض في هذا الفرع لأشهر القضايا التي تناولت موضوع التكييف، والتي أصبحت الآن أمثلة كلاسيكية شهيرة في القانون الدولي الخاص، وهي: قضية وصية الهولندي، ميراث المالطي، وزواج اليوناني الأرثوذوكسي.</w:t>
      </w:r>
    </w:p>
    <w:p w:rsidR="00187F1F" w:rsidRDefault="00187F1F" w:rsidP="00187F1F">
      <w:pPr>
        <w:bidi/>
        <w:spacing w:before="240"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أولا- وصية الهولندي:</w:t>
      </w:r>
      <w:r>
        <w:rPr>
          <w:rFonts w:ascii="Simplified Arabic" w:hAnsi="Simplified Arabic" w:cs="Simplified Arabic"/>
          <w:sz w:val="28"/>
          <w:szCs w:val="28"/>
          <w:rtl/>
          <w:lang w:bidi="ar-DZ"/>
        </w:rPr>
        <w:t xml:space="preserve"> تتلخص وقائعها في أن هولندي حرر وصية بخط اليد في فرنسا، فرفع ورثته دعوى بطلان الوصية أمام القضاء الفرنسي، استنادا إلى المادة 992 مدني هولندي التي توجب على الهولنديين تحرير وصاياهم في غير الشكل العرفي حتى ولو كانوا في الخارج، وهذا المنع يراد به حماية الموصي. </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والقانون الواجب التطبيق هنا، يتوقف على التكييف المعطى للمسألة محل النزاع. وتتمثل في: </w:t>
      </w:r>
      <w:r>
        <w:rPr>
          <w:rFonts w:ascii="Simplified Arabic" w:hAnsi="Simplified Arabic" w:cs="Simplified Arabic"/>
          <w:b/>
          <w:bCs/>
          <w:sz w:val="28"/>
          <w:szCs w:val="28"/>
          <w:rtl/>
          <w:lang w:bidi="ar-DZ"/>
        </w:rPr>
        <w:t xml:space="preserve">تحرير الوصية في شكل معين. </w:t>
      </w:r>
      <w:r>
        <w:rPr>
          <w:rFonts w:ascii="Simplified Arabic" w:hAnsi="Simplified Arabic" w:cs="Simplified Arabic"/>
          <w:sz w:val="28"/>
          <w:szCs w:val="28"/>
          <w:rtl/>
          <w:lang w:bidi="ar-DZ"/>
        </w:rPr>
        <w:t xml:space="preserve">وعليه، هل النزاع يتعلق بالشكل الخارجي للوصية أم يتعلق بالأشكال المكملة للأهلية؟ </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إذا اعتمدنا التكييف الأول(الشكل الخارجي)، فإن القانون الواجب التطبيق هو القانون الفرنسي باعتباره قانون مكان تحرير الوصية، وبالتالي فالوصية صحيحة، لأن القانون الفرنسي يجيز الوصية العرفية، أما إذا اعتمدنا </w:t>
      </w:r>
      <w:r>
        <w:rPr>
          <w:rFonts w:ascii="Simplified Arabic" w:hAnsi="Simplified Arabic" w:cs="Simplified Arabic"/>
          <w:sz w:val="28"/>
          <w:szCs w:val="28"/>
          <w:rtl/>
          <w:lang w:bidi="ar-DZ"/>
        </w:rPr>
        <w:lastRenderedPageBreak/>
        <w:t xml:space="preserve">التكييف الثاني(الشكل المكمل للأهلية)، فإن القانون الواجب التطبيق هو القانون الهولندي باعتباره قانون الجنسية، وبالتالي فالوصية تعتبر باطلة وفقا للمادة 992 من القانون المدني الهولندي. </w:t>
      </w:r>
    </w:p>
    <w:p w:rsidR="00187F1F" w:rsidRDefault="00187F1F" w:rsidP="00187F1F">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 xml:space="preserve">  وهكذا يختلف الحل الموضوعي للنزاع(بطلان أو صحة الوصية) بناءا التكييف المعطى للمسألة محل النزاع.</w:t>
      </w:r>
    </w:p>
    <w:p w:rsidR="00187F1F" w:rsidRDefault="00187F1F" w:rsidP="00187F1F">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حكم محكمة النقض الفرنسية في القضية:</w:t>
      </w:r>
      <w:r>
        <w:rPr>
          <w:rFonts w:ascii="Simplified Arabic" w:hAnsi="Simplified Arabic" w:cs="Simplified Arabic"/>
          <w:sz w:val="28"/>
          <w:szCs w:val="28"/>
          <w:rtl/>
          <w:lang w:bidi="ar-DZ"/>
        </w:rPr>
        <w:t xml:space="preserve"> كيفت النزاع على ضوء القانون الفرنسي. وبالتالي قضت بصحة الوصية.</w:t>
      </w:r>
    </w:p>
    <w:p w:rsidR="00187F1F" w:rsidRDefault="00187F1F" w:rsidP="00187F1F">
      <w:pPr>
        <w:bidi/>
        <w:spacing w:before="240"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ثانيا- ميراث المالطي:</w:t>
      </w:r>
      <w:r>
        <w:rPr>
          <w:rFonts w:ascii="Simplified Arabic" w:hAnsi="Simplified Arabic" w:cs="Simplified Arabic"/>
          <w:sz w:val="28"/>
          <w:szCs w:val="28"/>
          <w:rtl/>
          <w:lang w:bidi="ar-DZ"/>
        </w:rPr>
        <w:t xml:space="preserve"> تزوج مالطيان في مالطة، واستقرا في الجزائر حينما كانت مستعمرة فرنسية، طالبت الزوجة بحقها في عقارات زوجها المتوفى، والمعروف في القانون المالطي"</w:t>
      </w:r>
      <w:r>
        <w:rPr>
          <w:rFonts w:ascii="Simplified Arabic" w:hAnsi="Simplified Arabic" w:cs="Simplified Arabic"/>
          <w:b/>
          <w:bCs/>
          <w:sz w:val="28"/>
          <w:szCs w:val="28"/>
          <w:rtl/>
          <w:lang w:bidi="ar-DZ"/>
        </w:rPr>
        <w:t>بربع الزوج المحتاج".</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المسألة محل النزاع تتعلق بتحديد الوصف القانوني الملائم</w:t>
      </w:r>
      <w:r>
        <w:rPr>
          <w:rFonts w:ascii="Simplified Arabic" w:hAnsi="Simplified Arabic" w:cs="Simplified Arabic"/>
          <w:b/>
          <w:bCs/>
          <w:sz w:val="28"/>
          <w:szCs w:val="28"/>
          <w:rtl/>
          <w:lang w:bidi="ar-DZ"/>
        </w:rPr>
        <w:t xml:space="preserve"> للحق المطالب به </w:t>
      </w:r>
      <w:r>
        <w:rPr>
          <w:rFonts w:ascii="Simplified Arabic" w:hAnsi="Simplified Arabic" w:cs="Simplified Arabic"/>
          <w:sz w:val="28"/>
          <w:szCs w:val="28"/>
          <w:rtl/>
          <w:lang w:bidi="ar-DZ"/>
        </w:rPr>
        <w:t xml:space="preserve">المعروف بنصيب الزوج المحتاج. هل هو حق في الميراث أم نظام مالي للزوجين؟ </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إذا اعتبرناه حقا في الميراث، فالقانون المختص هو القانون الفرنسي باعتباره قانون موقع العقار. أما إذا اعتبرنا الحق المذكور من النظام المالي للزوجين، فالقانون المختص هو القانون المالطي باعتباره قانون جنسية الزوجين.</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حكم محكمة النقض في القضية:</w:t>
      </w:r>
      <w:r>
        <w:rPr>
          <w:rFonts w:ascii="Simplified Arabic" w:hAnsi="Simplified Arabic" w:cs="Simplified Arabic"/>
          <w:sz w:val="28"/>
          <w:szCs w:val="28"/>
          <w:rtl/>
          <w:lang w:bidi="ar-DZ"/>
        </w:rPr>
        <w:t xml:space="preserve"> كيفت الحق المطالب به وفقا للقانون الفرنسي أي اعتبرته حقا في الميراث، وبالتالي رفضت دعوى الزوجة.</w:t>
      </w:r>
    </w:p>
    <w:p w:rsidR="00187F1F" w:rsidRDefault="00187F1F" w:rsidP="00187F1F">
      <w:pPr>
        <w:bidi/>
        <w:spacing w:before="240"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ثالثا- زواج اليوناني الأرثوذوكسي: </w:t>
      </w:r>
      <w:r>
        <w:rPr>
          <w:rFonts w:ascii="Simplified Arabic" w:hAnsi="Simplified Arabic" w:cs="Simplified Arabic"/>
          <w:sz w:val="28"/>
          <w:szCs w:val="28"/>
          <w:rtl/>
          <w:lang w:bidi="ar-DZ"/>
        </w:rPr>
        <w:t>تزوج يوناني في فرنسا من فرنسية زواجا مدنيا وفقا للقانون الفرنسي، فطعن أولياء الزوج في هذا الزواج بالبطلان، لأنه لم يتم في الشكل الديني الذي يشترطه القانون اليوناني.</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المسألة محل النزاع هي إبرام الزواج في شكل معين.</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فإذا كيفنا المسألة محل النزاع وفقا للقانون الفرنسي، فإن شكل الزواج في هذا القانون يعتبر مسألة شكلية، وبالتالي يعتبر الزواج صحيحا، أما إذا كيفنها وفقا للقانون اليوناني، فشكل الزواج يعتبر مسألة موضوعية، وبالتالي فالزواج باطل، لأنه لم يتم في الشكل الديني الذي يتطلبه هذا القانون.</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حكم محكمة النقض الفرنسية في القضية:</w:t>
      </w:r>
      <w:r>
        <w:rPr>
          <w:rFonts w:ascii="Simplified Arabic" w:hAnsi="Simplified Arabic" w:cs="Simplified Arabic"/>
          <w:sz w:val="28"/>
          <w:szCs w:val="28"/>
          <w:rtl/>
          <w:lang w:bidi="ar-DZ"/>
        </w:rPr>
        <w:t xml:space="preserve"> اعتبرت إشهار الزواج في الشكل الديني مسألة شكلية، تسري عليها قاعدة لوكيس، وتبعا لذلك قضت بصحة الزواج.</w:t>
      </w:r>
    </w:p>
    <w:p w:rsidR="00187F1F" w:rsidRDefault="00187F1F" w:rsidP="00187F1F">
      <w:pPr>
        <w:bidi/>
        <w:spacing w:before="240"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نستخلص مما سبق</w:t>
      </w:r>
      <w:r>
        <w:rPr>
          <w:rFonts w:ascii="Simplified Arabic" w:hAnsi="Simplified Arabic" w:cs="Simplified Arabic"/>
          <w:sz w:val="28"/>
          <w:szCs w:val="28"/>
          <w:rtl/>
          <w:lang w:bidi="ar-DZ"/>
        </w:rPr>
        <w:t xml:space="preserve"> أن القانون المختص بحكم النزاع يختلف وفقا للقانون الذي يجري تكييف المسألة على ضوئه. وبالتالي اختلاف الحكم الموضوعي في النزاع.</w:t>
      </w:r>
    </w:p>
    <w:p w:rsidR="00187F1F" w:rsidRDefault="00187F1F" w:rsidP="00187F1F">
      <w:pPr>
        <w:bidi/>
        <w:spacing w:before="240"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lastRenderedPageBreak/>
        <w:t>المبحث الثاني: القانون الذي يحكم عملية التكييف:</w:t>
      </w:r>
    </w:p>
    <w:p w:rsidR="00187F1F" w:rsidRDefault="00187F1F" w:rsidP="00187F1F">
      <w:pPr>
        <w:bidi/>
        <w:spacing w:before="24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    </w:t>
      </w:r>
      <w:r>
        <w:rPr>
          <w:rFonts w:ascii="Simplified Arabic" w:hAnsi="Simplified Arabic" w:cs="Simplified Arabic"/>
          <w:sz w:val="28"/>
          <w:szCs w:val="28"/>
          <w:rtl/>
          <w:lang w:bidi="ar-DZ"/>
        </w:rPr>
        <w:t>ظهرت في هذا الصدد عدة آراء، أهمها: التكييف وفقا للقانون المختص بحكم النزاع، والتكييف وفقا لقانون قاضي الدعوى ولكن يجب ألا نتجاهل دور الفقه الحديث في تطوير نظرية التكييف التي قال بها بارتان.</w:t>
      </w:r>
    </w:p>
    <w:p w:rsidR="00187F1F" w:rsidRDefault="00187F1F" w:rsidP="00187F1F">
      <w:pPr>
        <w:bidi/>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أولا- خضوع التكييف للقانون المختص بحكم النزاع:</w:t>
      </w:r>
      <w:r>
        <w:rPr>
          <w:rFonts w:ascii="Simplified Arabic" w:hAnsi="Simplified Arabic" w:cs="Simplified Arabic"/>
          <w:sz w:val="28"/>
          <w:szCs w:val="28"/>
          <w:rtl/>
          <w:lang w:bidi="ar-DZ"/>
        </w:rPr>
        <w:t xml:space="preserve"> من أنصار هذا الرأي الألماني وولف، وباكسيوني في إيطاليا، وديبانييه في فرنسا.</w:t>
      </w:r>
      <w:r>
        <w:rPr>
          <w:rFonts w:ascii="Simplified Arabic" w:hAnsi="Simplified Arabic" w:cs="Simplified Arabic"/>
          <w:b/>
          <w:bCs/>
          <w:sz w:val="28"/>
          <w:szCs w:val="28"/>
          <w:rtl/>
          <w:lang w:bidi="ar-DZ"/>
        </w:rPr>
        <w:t xml:space="preserve"> </w:t>
      </w:r>
      <w:r>
        <w:rPr>
          <w:rFonts w:ascii="Simplified Arabic" w:hAnsi="Simplified Arabic" w:cs="Simplified Arabic"/>
          <w:sz w:val="28"/>
          <w:szCs w:val="28"/>
          <w:rtl/>
          <w:lang w:bidi="ar-DZ"/>
        </w:rPr>
        <w:t>ويجب تكييف المسألة موضوع النزاع وفقا لهذا الرأي للقانون الذي تشير قاعدة التنازع في قانون القاضي باختصاصه، ذلك أنه لكل قانون تكييفاته الخاصة به، وإذا كيفنا العلاقة محل النزاع وفقا لقانون آخر، فسوف يترتب على ذلك، تشويه للعلاقة.</w:t>
      </w:r>
    </w:p>
    <w:p w:rsidR="00187F1F" w:rsidRDefault="00187F1F" w:rsidP="00187F1F">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نقـــــد:</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تواجهه هذا الرأي استحالة عملية، لأن عملية التكييف سابقة على عملية الإسناد، وبالتالي لا يمكن تكييف العلاقة محل النزاع وفقا للقانون المختص بحكمها، لأنه يكون غير معروف.</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 قاعدة الإسناد قاعدة وطنية بحتة، لذلك لا يتصور أن يتنازل المشرع الوطني للقانون الأجنبي عن صلاحية تحديد مجال تطبيقها. </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فالقول بهذا الرأي فيه مصادرة عن المطلوب.</w:t>
      </w:r>
    </w:p>
    <w:p w:rsidR="00187F1F" w:rsidRDefault="00187F1F" w:rsidP="00187F1F">
      <w:pPr>
        <w:bidi/>
        <w:spacing w:before="24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 xml:space="preserve">ثانيا- خضوع التكييف لقانون القاضي: </w:t>
      </w:r>
      <w:r>
        <w:rPr>
          <w:rFonts w:ascii="Simplified Arabic" w:hAnsi="Simplified Arabic" w:cs="Simplified Arabic"/>
          <w:sz w:val="28"/>
          <w:szCs w:val="28"/>
          <w:rtl/>
          <w:lang w:bidi="ar-DZ"/>
        </w:rPr>
        <w:t>نادى بهذا الحل كل من بارتان في فرنسا وكاهن في ألمانيا.</w:t>
      </w:r>
    </w:p>
    <w:p w:rsidR="00187F1F" w:rsidRDefault="00187F1F" w:rsidP="00187F1F">
      <w:pPr>
        <w:bidi/>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يستند بارتان</w:t>
      </w:r>
      <w:r>
        <w:rPr>
          <w:rFonts w:ascii="Simplified Arabic" w:hAnsi="Simplified Arabic" w:cs="Simplified Arabic"/>
          <w:sz w:val="28"/>
          <w:szCs w:val="28"/>
          <w:rtl/>
          <w:lang w:bidi="ar-DZ"/>
        </w:rPr>
        <w:t xml:space="preserve"> في تبرير إخضاع التكييف لقانون القاضي على أن التنازع بين القوانين هو تنازع بين السيادات، إذ لا يتصور أن يتنازل المشرع الوطني عن التكييف، وهو مسألة مهمة وخطيرة ومتعلقة بالسيادة</w:t>
      </w:r>
      <w:r>
        <w:rPr>
          <w:rFonts w:ascii="Simplified Arabic" w:hAnsi="Simplified Arabic" w:cs="Simplified Arabic"/>
          <w:sz w:val="28"/>
          <w:szCs w:val="28"/>
          <w:vertAlign w:val="superscript"/>
          <w:rtl/>
          <w:lang w:bidi="ar-DZ"/>
        </w:rPr>
        <w:t xml:space="preserve"> </w:t>
      </w:r>
      <w:r>
        <w:rPr>
          <w:rStyle w:val="Appelnotedebasdep"/>
          <w:rFonts w:ascii="Simplified Arabic" w:hAnsi="Simplified Arabic" w:cs="Simplified Arabic"/>
          <w:sz w:val="28"/>
          <w:szCs w:val="28"/>
          <w:rtl/>
          <w:lang w:bidi="ar-DZ"/>
        </w:rPr>
        <w:footnoteReference w:id="3"/>
      </w:r>
      <w:r>
        <w:rPr>
          <w:rFonts w:ascii="Simplified Arabic" w:hAnsi="Simplified Arabic" w:cs="Simplified Arabic"/>
          <w:sz w:val="28"/>
          <w:szCs w:val="28"/>
          <w:rtl/>
          <w:lang w:bidi="ar-DZ"/>
        </w:rPr>
        <w:t>لصالح القانون الأجنبي.</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w:t>
      </w:r>
      <w:r>
        <w:rPr>
          <w:rFonts w:ascii="Simplified Arabic" w:hAnsi="Simplified Arabic" w:cs="Simplified Arabic"/>
          <w:b/>
          <w:bCs/>
          <w:sz w:val="28"/>
          <w:szCs w:val="28"/>
          <w:rtl/>
          <w:lang w:bidi="ar-DZ"/>
        </w:rPr>
        <w:t xml:space="preserve">من مبررات هذا الرأي </w:t>
      </w:r>
      <w:r>
        <w:rPr>
          <w:rFonts w:ascii="Simplified Arabic" w:hAnsi="Simplified Arabic" w:cs="Simplified Arabic"/>
          <w:sz w:val="28"/>
          <w:szCs w:val="28"/>
          <w:rtl/>
          <w:lang w:bidi="ar-DZ"/>
        </w:rPr>
        <w:t>أيضا:</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عملية التكييف سابقة على عملية الإسناد، وبالتالي القانون الأجنبي لا تكون له الصفة للتطبيق على التكييف.</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الهدف من التكييف هو تحديد القانون المختص بحكم النزاع، وبالتالي إخضاع التكييف لهذا القانون سيفقده الفائدة المرجوة منه.</w:t>
      </w:r>
    </w:p>
    <w:p w:rsidR="00187F1F" w:rsidRDefault="00187F1F" w:rsidP="00187F1F">
      <w:pPr>
        <w:bidi/>
        <w:spacing w:before="240"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      وقد أورد  بارتان على نظريته في التكييف، </w:t>
      </w:r>
      <w:r>
        <w:rPr>
          <w:rFonts w:ascii="Simplified Arabic" w:hAnsi="Simplified Arabic" w:cs="Simplified Arabic"/>
          <w:b/>
          <w:bCs/>
          <w:sz w:val="28"/>
          <w:szCs w:val="28"/>
          <w:rtl/>
          <w:lang w:bidi="ar-DZ"/>
        </w:rPr>
        <w:t>عدة استثناءات</w:t>
      </w:r>
      <w:r>
        <w:rPr>
          <w:rFonts w:ascii="Simplified Arabic" w:hAnsi="Simplified Arabic" w:cs="Simplified Arabic"/>
          <w:sz w:val="28"/>
          <w:szCs w:val="28"/>
          <w:rtl/>
          <w:lang w:bidi="ar-DZ"/>
        </w:rPr>
        <w:t>، هي:</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1- تكييف المال يخضع لقانون مكان وجوده، غير أن المنقولات تخضع لقانون المكان الذي توجد فيه لحظة تحقق السبب الذي ترتب عليه انتقال أو كسب ملكيتها(م.17 ف2 ق.م). </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3- التكييف بعد الإحالة، يخضع للقانون المختص بعد الإحالة. </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2- تكييف الفعل الضار هل هو مشروع أو غير مشروع، يخضع لقانون مكان وقوعه.</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3- إذا تعلق النزاع بنظام غير معروف في قانون القاضي، وجب تكييفه وفقا للقانون الذي يعرف هذا النظام، كما في نظام ربع الزوج الفقير، ونظام الطلاق بالإرادة المنفردة للزوج في الشريعة الإسلامية. </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وقد أخضع المشرع الجزائري التكييف لقانون القاضي في المادة 9 من القانون المدني، وبذلك يكون قد كرس موقف بارتان من مشكلة تنازع التكييفات.</w:t>
      </w:r>
    </w:p>
    <w:p w:rsidR="00187F1F" w:rsidRDefault="00187F1F" w:rsidP="00187F1F">
      <w:pPr>
        <w:bidi/>
        <w:spacing w:before="240" w:line="240" w:lineRule="auto"/>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ثالثا- دور الفقه الحديث في تطوير نظرية التكييف وفقا لقانون القاضي</w:t>
      </w:r>
      <w:r>
        <w:rPr>
          <w:rFonts w:ascii="Simplified Arabic" w:hAnsi="Simplified Arabic" w:cs="Simplified Arabic"/>
          <w:sz w:val="28"/>
          <w:szCs w:val="28"/>
          <w:rtl/>
          <w:lang w:bidi="ar-DZ"/>
        </w:rPr>
        <w:t xml:space="preserve">: لقد حاول الفقه الحديث أن يجعل من نظرية بارتان في التكييف أكثر مرونة وتماشيا مع طبيعة العلاقات الخاصة الدولية، وذلك بتوسيعه من مضمون الفئات المسندة، بالإضافة إلى عدم إغفال دور القانون الأجنبي في عملية التكييف. </w:t>
      </w:r>
    </w:p>
    <w:p w:rsidR="00187F1F" w:rsidRDefault="00187F1F" w:rsidP="00187F1F">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أ- التوسع في مضمون فئات الإسناد: </w:t>
      </w:r>
      <w:r>
        <w:rPr>
          <w:rFonts w:ascii="Simplified Arabic" w:hAnsi="Simplified Arabic" w:cs="Simplified Arabic"/>
          <w:sz w:val="28"/>
          <w:szCs w:val="28"/>
          <w:rtl/>
          <w:lang w:bidi="ar-DZ"/>
        </w:rPr>
        <w:t>ويتم ذلك بإدراج بعض المفاهيم والأنظمة غير المعروفة في قانون القاضي، كإدراج نظام الفصل الجسماني في فئة الأحوال الشخصية مثلا، لأنه نوع من الطلاق، وكذلك النظام المالي للزوجين، لأنه يدخل في الاشتراطات المالية بين الزوجين، وهذا ما كرسه فعلا المشرع الجزائري بقانون 05/10 المعدل والمتمم للأمر 75/58 المتضمن القانون المدني في المادة 12 ف2 منه.</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 xml:space="preserve">ب- عدم إغفال دور القانون الأجنبي: </w:t>
      </w:r>
      <w:r>
        <w:rPr>
          <w:rFonts w:ascii="Simplified Arabic" w:hAnsi="Simplified Arabic" w:cs="Simplified Arabic"/>
          <w:sz w:val="28"/>
          <w:szCs w:val="28"/>
          <w:rtl/>
          <w:lang w:bidi="ar-DZ"/>
        </w:rPr>
        <w:t xml:space="preserve">يجب على القاضي عند تكييفه لنظام قانوني غير معروف في قانونه أن يقوم بتحليل عناصره وبنيته، وتحديد هدفه وفقا لمبادئ ومفاهيم القانون الأجنبي الذي يعرف هذا النظام قبل تصنيفه في إحدى فئات الإسناد في قانونه الوطني، لكي لا نعطيه وصف غير حقيقي. </w:t>
      </w:r>
    </w:p>
    <w:p w:rsidR="00187F1F" w:rsidRDefault="00187F1F" w:rsidP="00187F1F">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وحسب باتيفول أن التكييف يمر بمرحلتين، الأولى هي مرحلة</w:t>
      </w:r>
      <w:r>
        <w:rPr>
          <w:rFonts w:ascii="Simplified Arabic" w:hAnsi="Simplified Arabic" w:cs="Simplified Arabic"/>
          <w:b/>
          <w:bCs/>
          <w:sz w:val="28"/>
          <w:szCs w:val="28"/>
          <w:rtl/>
          <w:lang w:bidi="ar-DZ"/>
        </w:rPr>
        <w:t xml:space="preserve"> التحليل</w:t>
      </w:r>
      <w:r>
        <w:rPr>
          <w:rFonts w:ascii="Simplified Arabic" w:hAnsi="Simplified Arabic" w:cs="Simplified Arabic"/>
          <w:sz w:val="28"/>
          <w:szCs w:val="28"/>
          <w:rtl/>
          <w:lang w:bidi="ar-DZ"/>
        </w:rPr>
        <w:t xml:space="preserve">، وتخضع للقانون الأجنبي، والثانية هي مرحلة </w:t>
      </w:r>
      <w:r>
        <w:rPr>
          <w:rFonts w:ascii="Simplified Arabic" w:hAnsi="Simplified Arabic" w:cs="Simplified Arabic"/>
          <w:b/>
          <w:bCs/>
          <w:sz w:val="28"/>
          <w:szCs w:val="28"/>
          <w:rtl/>
          <w:lang w:bidi="ar-DZ"/>
        </w:rPr>
        <w:t>الحكم</w:t>
      </w:r>
      <w:r>
        <w:rPr>
          <w:rFonts w:ascii="Simplified Arabic" w:hAnsi="Simplified Arabic" w:cs="Simplified Arabic"/>
          <w:sz w:val="28"/>
          <w:szCs w:val="28"/>
          <w:rtl/>
          <w:lang w:bidi="ar-DZ"/>
        </w:rPr>
        <w:t xml:space="preserve"> أو اتخاذ القرار(الإسناد)، وتخضع لقانون القاضي. </w:t>
      </w:r>
    </w:p>
    <w:p w:rsidR="00187F1F" w:rsidRDefault="00187F1F" w:rsidP="00187F1F">
      <w:pPr>
        <w:bidi/>
        <w:spacing w:after="0"/>
        <w:ind w:left="-625" w:right="-709"/>
        <w:jc w:val="both"/>
        <w:rPr>
          <w:rFonts w:ascii="Simplified Arabic" w:hAnsi="Simplified Arabic" w:cs="Simplified Arabic"/>
          <w:sz w:val="28"/>
          <w:szCs w:val="28"/>
          <w:rtl/>
          <w:lang w:bidi="ar-DZ"/>
        </w:rPr>
      </w:pPr>
    </w:p>
    <w:p w:rsidR="00187F1F" w:rsidRDefault="00187F1F" w:rsidP="00187F1F">
      <w:pPr>
        <w:bidi/>
        <w:spacing w:after="0"/>
        <w:ind w:left="-625" w:right="-709"/>
        <w:jc w:val="both"/>
        <w:rPr>
          <w:rFonts w:ascii="Simplified Arabic" w:hAnsi="Simplified Arabic" w:cs="Simplified Arabic"/>
          <w:sz w:val="28"/>
          <w:szCs w:val="28"/>
          <w:rtl/>
          <w:lang w:bidi="ar-DZ"/>
        </w:rPr>
      </w:pPr>
    </w:p>
    <w:p w:rsidR="00187F1F" w:rsidRDefault="00187F1F" w:rsidP="00187F1F">
      <w:pPr>
        <w:bidi/>
        <w:spacing w:after="0"/>
        <w:ind w:left="-625" w:right="-709"/>
        <w:jc w:val="both"/>
        <w:rPr>
          <w:rFonts w:ascii="Simplified Arabic" w:hAnsi="Simplified Arabic" w:cs="Simplified Arabic"/>
          <w:sz w:val="28"/>
          <w:szCs w:val="28"/>
          <w:rtl/>
          <w:lang w:bidi="ar-DZ"/>
        </w:rPr>
      </w:pPr>
    </w:p>
    <w:p w:rsidR="00187F1F" w:rsidRDefault="00187F1F" w:rsidP="00187F1F">
      <w:pPr>
        <w:bidi/>
        <w:spacing w:after="0"/>
        <w:ind w:left="-625" w:right="-709"/>
        <w:jc w:val="both"/>
        <w:rPr>
          <w:rFonts w:ascii="Simplified Arabic" w:hAnsi="Simplified Arabic" w:cs="Simplified Arabic"/>
          <w:sz w:val="28"/>
          <w:szCs w:val="28"/>
          <w:rtl/>
          <w:lang w:bidi="ar-DZ"/>
        </w:rPr>
      </w:pPr>
    </w:p>
    <w:p w:rsidR="00187F1F" w:rsidRDefault="00187F1F" w:rsidP="00187F1F">
      <w:pPr>
        <w:bidi/>
        <w:spacing w:after="0"/>
        <w:ind w:left="-625" w:right="-709"/>
        <w:jc w:val="both"/>
        <w:rPr>
          <w:rFonts w:ascii="Simplified Arabic" w:hAnsi="Simplified Arabic" w:cs="Simplified Arabic"/>
          <w:sz w:val="28"/>
          <w:szCs w:val="28"/>
          <w:rtl/>
          <w:lang w:bidi="ar-DZ"/>
        </w:rPr>
      </w:pPr>
    </w:p>
    <w:p w:rsidR="00230697" w:rsidRPr="00187F1F" w:rsidRDefault="00230697">
      <w:pPr>
        <w:rPr>
          <w:rFonts w:ascii="Simplified Arabic" w:hAnsi="Simplified Arabic" w:cs="Simplified Arabic"/>
          <w:sz w:val="28"/>
          <w:szCs w:val="28"/>
        </w:rPr>
      </w:pPr>
    </w:p>
    <w:sectPr w:rsidR="00230697" w:rsidRPr="00187F1F" w:rsidSect="00230697">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F69" w:rsidRDefault="00D42F69" w:rsidP="00187F1F">
      <w:pPr>
        <w:spacing w:after="0" w:line="240" w:lineRule="auto"/>
      </w:pPr>
      <w:r>
        <w:separator/>
      </w:r>
    </w:p>
  </w:endnote>
  <w:endnote w:type="continuationSeparator" w:id="1">
    <w:p w:rsidR="00D42F69" w:rsidRDefault="00D42F69" w:rsidP="00187F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24666"/>
      <w:docPartObj>
        <w:docPartGallery w:val="Page Numbers (Bottom of Page)"/>
        <w:docPartUnique/>
      </w:docPartObj>
    </w:sdtPr>
    <w:sdtContent>
      <w:p w:rsidR="00187F1F" w:rsidRDefault="00187F1F">
        <w:pPr>
          <w:pStyle w:val="Pieddepage"/>
          <w:jc w:val="center"/>
        </w:pPr>
        <w:fldSimple w:instr=" PAGE   \* MERGEFORMAT ">
          <w:r w:rsidR="001D5133">
            <w:rPr>
              <w:noProof/>
            </w:rPr>
            <w:t>1</w:t>
          </w:r>
        </w:fldSimple>
      </w:p>
    </w:sdtContent>
  </w:sdt>
  <w:p w:rsidR="00187F1F" w:rsidRDefault="00187F1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F69" w:rsidRDefault="00D42F69" w:rsidP="00187F1F">
      <w:pPr>
        <w:spacing w:after="0" w:line="240" w:lineRule="auto"/>
      </w:pPr>
      <w:r>
        <w:separator/>
      </w:r>
    </w:p>
  </w:footnote>
  <w:footnote w:type="continuationSeparator" w:id="1">
    <w:p w:rsidR="00D42F69" w:rsidRDefault="00D42F69" w:rsidP="00187F1F">
      <w:pPr>
        <w:spacing w:after="0" w:line="240" w:lineRule="auto"/>
      </w:pPr>
      <w:r>
        <w:continuationSeparator/>
      </w:r>
    </w:p>
  </w:footnote>
  <w:footnote w:id="2">
    <w:p w:rsidR="00187F1F" w:rsidRDefault="00187F1F" w:rsidP="00187F1F">
      <w:pPr>
        <w:bidi/>
        <w:spacing w:after="0" w:line="240" w:lineRule="auto"/>
        <w:ind w:left="-625" w:right="-709"/>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قبل ذلك قام </w:t>
      </w:r>
      <w:r>
        <w:rPr>
          <w:rFonts w:ascii="Simplified Arabic" w:hAnsi="Simplified Arabic" w:cs="Simplified Arabic"/>
          <w:b/>
          <w:bCs/>
          <w:sz w:val="24"/>
          <w:szCs w:val="24"/>
          <w:rtl/>
          <w:lang w:bidi="ar-DZ"/>
        </w:rPr>
        <w:t>كوتيوس</w:t>
      </w:r>
      <w:r>
        <w:rPr>
          <w:rFonts w:ascii="Simplified Arabic" w:hAnsi="Simplified Arabic" w:cs="Simplified Arabic"/>
          <w:sz w:val="24"/>
          <w:szCs w:val="24"/>
          <w:rtl/>
          <w:lang w:bidi="ar-DZ"/>
        </w:rPr>
        <w:t xml:space="preserve"> وهو أحد رواد المدرسة الإيطالية القديمة، بتفسير خضوع العقد لقانون مكان إبرامه على أساس الإرادة الضمنية للأطراف، والتي اتجهت ضمنيا إلى تطبيقه على العقد من حيث الموضوع والشكل أيضا. </w:t>
      </w:r>
    </w:p>
    <w:p w:rsidR="00187F1F" w:rsidRDefault="00187F1F" w:rsidP="00187F1F">
      <w:pPr>
        <w:pStyle w:val="Notedebasdepage"/>
        <w:bidi/>
        <w:rPr>
          <w:rtl/>
          <w:lang w:bidi="ar-DZ"/>
        </w:rPr>
      </w:pPr>
    </w:p>
  </w:footnote>
  <w:footnote w:id="3">
    <w:p w:rsidR="00187F1F" w:rsidRDefault="00187F1F" w:rsidP="00187F1F">
      <w:pPr>
        <w:bidi/>
        <w:spacing w:after="0"/>
        <w:ind w:left="-625" w:right="-709"/>
        <w:jc w:val="both"/>
        <w:rPr>
          <w:rFonts w:ascii="Simplified Arabic" w:hAnsi="Simplified Arabic" w:cs="Simplified Arabic"/>
          <w:sz w:val="24"/>
          <w:szCs w:val="24"/>
          <w:rtl/>
          <w:lang w:bidi="ar-DZ"/>
        </w:rPr>
      </w:pPr>
      <w:r>
        <w:rPr>
          <w:rStyle w:val="Appelnotedebasdep"/>
          <w:rFonts w:ascii="Simplified Arabic" w:hAnsi="Simplified Arabic" w:cs="Simplified Arabic"/>
          <w:sz w:val="24"/>
          <w:szCs w:val="24"/>
        </w:rPr>
        <w:footnoteRef/>
      </w:r>
      <w:r>
        <w:rPr>
          <w:rFonts w:ascii="Simplified Arabic" w:hAnsi="Simplified Arabic" w:cs="Simplified Arabic"/>
          <w:sz w:val="24"/>
          <w:szCs w:val="24"/>
        </w:rPr>
        <w:t xml:space="preserve"> </w:t>
      </w:r>
      <w:r>
        <w:rPr>
          <w:rFonts w:ascii="Simplified Arabic" w:hAnsi="Simplified Arabic" w:cs="Simplified Arabic"/>
          <w:sz w:val="24"/>
          <w:szCs w:val="24"/>
          <w:rtl/>
          <w:lang w:bidi="ar-DZ"/>
        </w:rPr>
        <w:t>- معنى تعلق التكييف بفكرة السيادة، أنه تفسير لقاعدة الإسناد الوطنية، مما لا يمللك حق تفسير هذه القاعدة سوى المشرع الوطني.</w:t>
      </w:r>
    </w:p>
    <w:p w:rsidR="00187F1F" w:rsidRDefault="00187F1F" w:rsidP="00187F1F">
      <w:pPr>
        <w:pStyle w:val="Notedebasdepage"/>
        <w:bidi/>
        <w:rPr>
          <w:rtl/>
          <w:lang w:bidi="ar-DZ"/>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87F1F"/>
    <w:rsid w:val="00187F1F"/>
    <w:rsid w:val="001D5133"/>
    <w:rsid w:val="00230697"/>
    <w:rsid w:val="00D42F6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F1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187F1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87F1F"/>
    <w:rPr>
      <w:sz w:val="20"/>
      <w:szCs w:val="20"/>
    </w:rPr>
  </w:style>
  <w:style w:type="character" w:styleId="Appelnotedebasdep">
    <w:name w:val="footnote reference"/>
    <w:basedOn w:val="Policepardfaut"/>
    <w:uiPriority w:val="99"/>
    <w:semiHidden/>
    <w:unhideWhenUsed/>
    <w:rsid w:val="00187F1F"/>
    <w:rPr>
      <w:vertAlign w:val="superscript"/>
    </w:rPr>
  </w:style>
  <w:style w:type="paragraph" w:styleId="En-tte">
    <w:name w:val="header"/>
    <w:basedOn w:val="Normal"/>
    <w:link w:val="En-tteCar"/>
    <w:uiPriority w:val="99"/>
    <w:semiHidden/>
    <w:unhideWhenUsed/>
    <w:rsid w:val="00187F1F"/>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187F1F"/>
  </w:style>
  <w:style w:type="paragraph" w:styleId="Pieddepage">
    <w:name w:val="footer"/>
    <w:basedOn w:val="Normal"/>
    <w:link w:val="PieddepageCar"/>
    <w:uiPriority w:val="99"/>
    <w:unhideWhenUsed/>
    <w:rsid w:val="00187F1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87F1F"/>
  </w:style>
</w:styles>
</file>

<file path=word/webSettings.xml><?xml version="1.0" encoding="utf-8"?>
<w:webSettings xmlns:r="http://schemas.openxmlformats.org/officeDocument/2006/relationships" xmlns:w="http://schemas.openxmlformats.org/wordprocessingml/2006/main">
  <w:divs>
    <w:div w:id="177216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0DAD3-E92D-49FC-A7BC-C96E1D5A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1311</Words>
  <Characters>7213</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1</cp:revision>
  <dcterms:created xsi:type="dcterms:W3CDTF">2025-12-11T18:45:00Z</dcterms:created>
  <dcterms:modified xsi:type="dcterms:W3CDTF">2025-12-11T19:29:00Z</dcterms:modified>
</cp:coreProperties>
</file>