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894" w:rsidRPr="006C24D7" w:rsidRDefault="00522894" w:rsidP="00AD08A1">
      <w:pPr>
        <w:bidi/>
        <w:spacing w:before="240" w:after="0"/>
        <w:ind w:left="-625" w:right="-709"/>
        <w:jc w:val="center"/>
        <w:rPr>
          <w:rFonts w:ascii="Simplified Arabic" w:hAnsi="Simplified Arabic" w:cs="Simplified Arabic"/>
          <w:sz w:val="28"/>
          <w:szCs w:val="28"/>
          <w:u w:val="single"/>
          <w:lang w:bidi="ar-DZ"/>
        </w:rPr>
      </w:pPr>
      <w:r w:rsidRPr="006C24D7">
        <w:rPr>
          <w:rFonts w:ascii="Simplified Arabic" w:hAnsi="Simplified Arabic" w:cs="Simplified Arabic"/>
          <w:b/>
          <w:bCs/>
          <w:sz w:val="28"/>
          <w:szCs w:val="28"/>
          <w:u w:val="single"/>
          <w:rtl/>
          <w:lang w:bidi="ar-DZ"/>
        </w:rPr>
        <w:t xml:space="preserve">الموضوع </w:t>
      </w:r>
      <w:r w:rsidR="00AD08A1">
        <w:rPr>
          <w:rFonts w:ascii="Simplified Arabic" w:hAnsi="Simplified Arabic" w:cs="Simplified Arabic" w:hint="cs"/>
          <w:b/>
          <w:bCs/>
          <w:sz w:val="28"/>
          <w:szCs w:val="28"/>
          <w:u w:val="single"/>
          <w:rtl/>
          <w:lang w:bidi="ar-DZ"/>
        </w:rPr>
        <w:t>العاشر</w:t>
      </w:r>
      <w:r>
        <w:rPr>
          <w:rFonts w:ascii="Simplified Arabic" w:hAnsi="Simplified Arabic" w:cs="Simplified Arabic" w:hint="cs"/>
          <w:b/>
          <w:bCs/>
          <w:sz w:val="28"/>
          <w:szCs w:val="28"/>
          <w:u w:val="single"/>
          <w:rtl/>
          <w:lang w:bidi="ar-DZ"/>
        </w:rPr>
        <w:t xml:space="preserve">: </w:t>
      </w:r>
      <w:r w:rsidRPr="006C24D7">
        <w:rPr>
          <w:rFonts w:ascii="Simplified Arabic" w:hAnsi="Simplified Arabic" w:cs="Simplified Arabic"/>
          <w:b/>
          <w:bCs/>
          <w:sz w:val="28"/>
          <w:szCs w:val="28"/>
          <w:u w:val="single"/>
          <w:rtl/>
          <w:lang w:bidi="ar-DZ"/>
        </w:rPr>
        <w:t>القانون الواجب التطبيق على الأحوال العينية(الأموال</w:t>
      </w:r>
      <w:r>
        <w:rPr>
          <w:rFonts w:ascii="Simplified Arabic" w:hAnsi="Simplified Arabic" w:cs="Simplified Arabic" w:hint="cs"/>
          <w:b/>
          <w:bCs/>
          <w:sz w:val="28"/>
          <w:szCs w:val="28"/>
          <w:u w:val="single"/>
          <w:rtl/>
          <w:lang w:bidi="ar-DZ"/>
        </w:rPr>
        <w:t>)</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يختلف القانون الواجب التطبيق على الأموال بحسب طبيعتها أي بين ما إذا كانت مادية أو معنوية.</w:t>
      </w:r>
    </w:p>
    <w:p w:rsidR="00522894" w:rsidRPr="00E46B6C" w:rsidRDefault="00522894" w:rsidP="00522894">
      <w:pPr>
        <w:bidi/>
        <w:spacing w:before="240" w:after="0" w:line="240" w:lineRule="auto"/>
        <w:ind w:left="-625" w:right="-709"/>
        <w:jc w:val="both"/>
        <w:rPr>
          <w:rFonts w:ascii="Simplified Arabic" w:hAnsi="Simplified Arabic" w:cs="Simplified Arabic"/>
          <w:sz w:val="28"/>
          <w:szCs w:val="28"/>
          <w:rtl/>
          <w:lang w:bidi="ar-DZ"/>
        </w:rPr>
      </w:pPr>
      <w:r w:rsidRPr="00E46B6C">
        <w:rPr>
          <w:rFonts w:ascii="Simplified Arabic" w:hAnsi="Simplified Arabic" w:cs="Simplified Arabic"/>
          <w:b/>
          <w:bCs/>
          <w:sz w:val="28"/>
          <w:szCs w:val="28"/>
          <w:rtl/>
          <w:lang w:bidi="ar-DZ"/>
        </w:rPr>
        <w:t>المبحث الأول: القانون الواجب التطبيق على الأموال المادية</w:t>
      </w:r>
    </w:p>
    <w:p w:rsidR="00522894" w:rsidRPr="00E46B6C" w:rsidRDefault="00522894" w:rsidP="00522894">
      <w:pPr>
        <w:bidi/>
        <w:spacing w:before="240" w:after="0" w:line="240" w:lineRule="auto"/>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لتحديد هذا القانون</w:t>
      </w:r>
      <w:r w:rsidRPr="00E46B6C">
        <w:rPr>
          <w:rFonts w:ascii="Simplified Arabic" w:hAnsi="Simplified Arabic" w:cs="Simplified Arabic"/>
          <w:sz w:val="28"/>
          <w:szCs w:val="28"/>
          <w:rtl/>
          <w:lang w:bidi="ar-DZ"/>
        </w:rPr>
        <w:t xml:space="preserve"> يجب التمييز بين الأموال العقارية والأموال المنقولة.</w:t>
      </w:r>
    </w:p>
    <w:p w:rsidR="00522894" w:rsidRPr="006C24D7" w:rsidRDefault="00522894" w:rsidP="00522894">
      <w:pPr>
        <w:bidi/>
        <w:spacing w:before="240" w:after="0" w:line="240" w:lineRule="auto"/>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w:t>
      </w:r>
      <w:r w:rsidRPr="00E46B6C">
        <w:rPr>
          <w:rFonts w:ascii="Simplified Arabic" w:hAnsi="Simplified Arabic" w:cs="Simplified Arabic"/>
          <w:b/>
          <w:bCs/>
          <w:sz w:val="28"/>
          <w:szCs w:val="28"/>
          <w:rtl/>
          <w:lang w:bidi="ar-DZ"/>
        </w:rPr>
        <w:t xml:space="preserve"> العقارات: </w:t>
      </w:r>
      <w:r w:rsidRPr="00E46B6C">
        <w:rPr>
          <w:rFonts w:ascii="Simplified Arabic" w:hAnsi="Simplified Arabic" w:cs="Simplified Arabic"/>
          <w:sz w:val="28"/>
          <w:szCs w:val="28"/>
          <w:rtl/>
          <w:lang w:bidi="ar-DZ"/>
        </w:rPr>
        <w:t xml:space="preserve"> يسري على اكتساب</w:t>
      </w:r>
      <w:r>
        <w:rPr>
          <w:rFonts w:ascii="Simplified Arabic" w:hAnsi="Simplified Arabic" w:cs="Simplified Arabic"/>
          <w:sz w:val="28"/>
          <w:szCs w:val="28"/>
          <w:rtl/>
          <w:lang w:bidi="ar-DZ"/>
        </w:rPr>
        <w:t xml:space="preserve"> الحيازة والملكية</w:t>
      </w:r>
      <w:r w:rsidRPr="00E46B6C">
        <w:rPr>
          <w:rFonts w:ascii="Simplified Arabic" w:hAnsi="Simplified Arabic" w:cs="Simplified Arabic"/>
          <w:sz w:val="28"/>
          <w:szCs w:val="28"/>
          <w:rtl/>
          <w:lang w:bidi="ar-DZ"/>
        </w:rPr>
        <w:t xml:space="preserve"> والحقوق العينية الأخرى على العقارات، قانون موقع العقار وفقا للمادة</w:t>
      </w:r>
      <w:r>
        <w:rPr>
          <w:rFonts w:ascii="Simplified Arabic" w:hAnsi="Simplified Arabic" w:cs="Simplified Arabic"/>
          <w:sz w:val="28"/>
          <w:szCs w:val="28"/>
          <w:rtl/>
          <w:lang w:bidi="ar-DZ"/>
        </w:rPr>
        <w:t xml:space="preserve"> 17 ف1 ق.م</w:t>
      </w:r>
      <w:r w:rsidRPr="00E46B6C">
        <w:rPr>
          <w:rFonts w:ascii="Simplified Arabic" w:hAnsi="Simplified Arabic" w:cs="Simplified Arabic"/>
          <w:sz w:val="28"/>
          <w:szCs w:val="28"/>
          <w:rtl/>
          <w:lang w:bidi="ar-DZ"/>
        </w:rPr>
        <w:t xml:space="preserve"> المعدلة بقانون 05-10، لأن العقار يعتبر جزءا من إقليم الدولة، وبالتالي لابد من إخضاعه لقانونها، وهذا ما نادى به فقه المدرسة الإيطالية القديمة، وفقه كل من </w:t>
      </w:r>
      <w:r w:rsidRPr="00E46B6C">
        <w:rPr>
          <w:rFonts w:ascii="Simplified Arabic" w:hAnsi="Simplified Arabic" w:cs="Simplified Arabic"/>
          <w:b/>
          <w:bCs/>
          <w:sz w:val="28"/>
          <w:szCs w:val="28"/>
          <w:rtl/>
          <w:lang w:bidi="ar-DZ"/>
        </w:rPr>
        <w:t>دارجنتريه</w:t>
      </w:r>
      <w:r w:rsidRPr="00E46B6C">
        <w:rPr>
          <w:rFonts w:ascii="Simplified Arabic" w:hAnsi="Simplified Arabic" w:cs="Simplified Arabic"/>
          <w:sz w:val="28"/>
          <w:szCs w:val="28"/>
          <w:rtl/>
          <w:lang w:bidi="ar-DZ"/>
        </w:rPr>
        <w:t xml:space="preserve">، وهو أحد رواد المدرسة الفرنسية، والإيطالي </w:t>
      </w:r>
      <w:r w:rsidRPr="00E46B6C">
        <w:rPr>
          <w:rFonts w:ascii="Simplified Arabic" w:hAnsi="Simplified Arabic" w:cs="Simplified Arabic"/>
          <w:b/>
          <w:bCs/>
          <w:sz w:val="28"/>
          <w:szCs w:val="28"/>
          <w:rtl/>
          <w:lang w:bidi="ar-DZ"/>
        </w:rPr>
        <w:t>مانسيني</w:t>
      </w:r>
      <w:r w:rsidRPr="00E46B6C">
        <w:rPr>
          <w:rFonts w:ascii="Simplified Arabic" w:hAnsi="Simplified Arabic" w:cs="Simplified Arabic"/>
          <w:sz w:val="28"/>
          <w:szCs w:val="28"/>
          <w:rtl/>
          <w:lang w:bidi="ar-DZ"/>
        </w:rPr>
        <w:t xml:space="preserve"> الذي استثنى</w:t>
      </w:r>
      <w:r>
        <w:rPr>
          <w:rFonts w:ascii="Simplified Arabic" w:hAnsi="Simplified Arabic" w:cs="Simplified Arabic"/>
          <w:sz w:val="28"/>
          <w:szCs w:val="28"/>
          <w:rtl/>
          <w:lang w:bidi="ar-DZ"/>
        </w:rPr>
        <w:t xml:space="preserve"> من الخضوع لمبدأ شخصية القوانين</w:t>
      </w:r>
      <w:r>
        <w:rPr>
          <w:rFonts w:ascii="Simplified Arabic" w:hAnsi="Simplified Arabic" w:cs="Simplified Arabic" w:hint="cs"/>
          <w:sz w:val="28"/>
          <w:szCs w:val="28"/>
          <w:rtl/>
          <w:lang w:bidi="ar-DZ"/>
        </w:rPr>
        <w:t>،</w:t>
      </w:r>
      <w:r w:rsidRPr="00E46B6C">
        <w:rPr>
          <w:rFonts w:ascii="Simplified Arabic" w:hAnsi="Simplified Arabic" w:cs="Simplified Arabic"/>
          <w:sz w:val="28"/>
          <w:szCs w:val="28"/>
          <w:rtl/>
          <w:lang w:bidi="ar-DZ"/>
        </w:rPr>
        <w:t xml:space="preserve"> القوانين المتعلقة بالملكية العقارية.</w:t>
      </w:r>
    </w:p>
    <w:p w:rsidR="00522894" w:rsidRPr="00E46B6C" w:rsidRDefault="00522894" w:rsidP="00522894">
      <w:pPr>
        <w:bidi/>
        <w:spacing w:before="240" w:after="0" w:line="240" w:lineRule="auto"/>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ولذلك يجب الرجوع لقانون موقع العقار لبيان طبيعة المال أي تكييفه، هل هو عقار أم منقول، وهذا استثناءا من مبدأ خضوع التكييف لقانون القاضي، وهو ما أخذ به المشرع في المادة 17ف1 ق.م، وطرق اكتساب الملكية العقارية والحقوق العينية الأخرى، وانتقالها، وأسباب انقضائها، وسلطات المالك والمنتفع، والقيود الواردة على حق الملكية العقارية..</w:t>
      </w:r>
    </w:p>
    <w:p w:rsidR="00522894" w:rsidRPr="00E46B6C" w:rsidRDefault="00522894" w:rsidP="00522894">
      <w:pPr>
        <w:bidi/>
        <w:spacing w:before="240" w:after="0" w:line="240" w:lineRule="auto"/>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w:t>
      </w:r>
      <w:r w:rsidRPr="00E46B6C">
        <w:rPr>
          <w:rFonts w:ascii="Simplified Arabic" w:hAnsi="Simplified Arabic" w:cs="Simplified Arabic"/>
          <w:b/>
          <w:bCs/>
          <w:sz w:val="28"/>
          <w:szCs w:val="28"/>
          <w:rtl/>
          <w:lang w:bidi="ar-DZ"/>
        </w:rPr>
        <w:t>يخضع العقد المنشئ لحق عيني على عقار(بيع، رهن..)</w:t>
      </w:r>
      <w:r w:rsidRPr="00E46B6C">
        <w:rPr>
          <w:rFonts w:ascii="Simplified Arabic" w:hAnsi="Simplified Arabic" w:cs="Simplified Arabic"/>
          <w:sz w:val="28"/>
          <w:szCs w:val="28"/>
          <w:rtl/>
          <w:lang w:bidi="ar-DZ"/>
        </w:rPr>
        <w:t xml:space="preserve"> لقانون موقع العقار سواء تعلق النزاع ب</w:t>
      </w:r>
      <w:r>
        <w:rPr>
          <w:rFonts w:ascii="Simplified Arabic" w:hAnsi="Simplified Arabic" w:cs="Simplified Arabic"/>
          <w:sz w:val="28"/>
          <w:szCs w:val="28"/>
          <w:rtl/>
          <w:lang w:bidi="ar-DZ"/>
        </w:rPr>
        <w:t>موضوعه</w:t>
      </w:r>
      <w:r w:rsidRPr="00E46B6C">
        <w:rPr>
          <w:rFonts w:ascii="Simplified Arabic" w:hAnsi="Simplified Arabic" w:cs="Simplified Arabic"/>
          <w:sz w:val="28"/>
          <w:szCs w:val="28"/>
          <w:rtl/>
          <w:lang w:bidi="ar-DZ"/>
        </w:rPr>
        <w:t xml:space="preserve"> أو شكله</w:t>
      </w:r>
      <w:r w:rsidR="009742E1">
        <w:rPr>
          <w:rStyle w:val="Appelnotedebasdep"/>
          <w:rFonts w:ascii="Simplified Arabic" w:hAnsi="Simplified Arabic" w:cs="Simplified Arabic"/>
          <w:sz w:val="28"/>
          <w:szCs w:val="28"/>
          <w:rtl/>
          <w:lang w:bidi="ar-DZ"/>
        </w:rPr>
        <w:footnoteReference w:id="2"/>
      </w:r>
      <w:r w:rsidRPr="00E46B6C">
        <w:rPr>
          <w:rFonts w:ascii="Simplified Arabic" w:hAnsi="Simplified Arabic" w:cs="Simplified Arabic"/>
          <w:sz w:val="28"/>
          <w:szCs w:val="28"/>
          <w:rtl/>
          <w:lang w:bidi="ar-DZ"/>
        </w:rPr>
        <w:t xml:space="preserve">، وهذا ما </w:t>
      </w:r>
      <w:r w:rsidR="00577B83">
        <w:rPr>
          <w:rFonts w:ascii="Simplified Arabic" w:hAnsi="Simplified Arabic" w:cs="Simplified Arabic"/>
          <w:sz w:val="28"/>
          <w:szCs w:val="28"/>
          <w:rtl/>
          <w:lang w:bidi="ar-DZ"/>
        </w:rPr>
        <w:t>نصت عليه صراحة المادة 18 ف2 ق.م</w:t>
      </w:r>
      <w:r w:rsidRPr="00E46B6C">
        <w:rPr>
          <w:rFonts w:ascii="Simplified Arabic" w:hAnsi="Simplified Arabic" w:cs="Simplified Arabic"/>
          <w:sz w:val="28"/>
          <w:szCs w:val="28"/>
          <w:rtl/>
          <w:lang w:bidi="ar-DZ"/>
        </w:rPr>
        <w:t xml:space="preserve"> المعدلة بقانون 05-10. </w:t>
      </w:r>
    </w:p>
    <w:p w:rsidR="00522894" w:rsidRPr="00E46B6C" w:rsidRDefault="00522894" w:rsidP="00522894">
      <w:pPr>
        <w:bidi/>
        <w:spacing w:before="240" w:after="0" w:line="240" w:lineRule="auto"/>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ويعد ذلك</w:t>
      </w:r>
      <w:r w:rsidRPr="00E46B6C">
        <w:rPr>
          <w:rFonts w:ascii="Simplified Arabic" w:hAnsi="Simplified Arabic" w:cs="Simplified Arabic"/>
          <w:b/>
          <w:bCs/>
          <w:sz w:val="28"/>
          <w:szCs w:val="28"/>
          <w:rtl/>
          <w:lang w:bidi="ar-DZ"/>
        </w:rPr>
        <w:t xml:space="preserve"> استثناءا</w:t>
      </w:r>
      <w:r w:rsidRPr="00E46B6C">
        <w:rPr>
          <w:rFonts w:ascii="Simplified Arabic" w:hAnsi="Simplified Arabic" w:cs="Simplified Arabic"/>
          <w:sz w:val="28"/>
          <w:szCs w:val="28"/>
          <w:rtl/>
          <w:lang w:bidi="ar-DZ"/>
        </w:rPr>
        <w:t xml:space="preserve"> من قاعدة </w:t>
      </w:r>
      <w:r w:rsidRPr="00E46B6C">
        <w:rPr>
          <w:rFonts w:ascii="Simplified Arabic" w:hAnsi="Simplified Arabic" w:cs="Simplified Arabic"/>
          <w:b/>
          <w:bCs/>
          <w:sz w:val="28"/>
          <w:szCs w:val="28"/>
          <w:rtl/>
          <w:lang w:bidi="ar-DZ"/>
        </w:rPr>
        <w:t>خضوع العقد لقانون الإرادة</w:t>
      </w:r>
      <w:r w:rsidRPr="00E46B6C">
        <w:rPr>
          <w:rFonts w:ascii="Simplified Arabic" w:hAnsi="Simplified Arabic" w:cs="Simplified Arabic"/>
          <w:sz w:val="28"/>
          <w:szCs w:val="28"/>
          <w:rtl/>
          <w:lang w:bidi="ar-DZ"/>
        </w:rPr>
        <w:t xml:space="preserve"> طبقا للمادة 18 ف1 ق.م.</w:t>
      </w:r>
    </w:p>
    <w:p w:rsidR="00522894" w:rsidRPr="00ED194B" w:rsidRDefault="00522894" w:rsidP="00522894">
      <w:pPr>
        <w:bidi/>
        <w:spacing w:before="240"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b/>
          <w:bCs/>
          <w:sz w:val="28"/>
          <w:szCs w:val="28"/>
          <w:rtl/>
          <w:lang w:bidi="ar-DZ"/>
        </w:rPr>
        <w:t>ب- المنقولات:</w:t>
      </w:r>
      <w:r w:rsidRPr="00E46B6C">
        <w:rPr>
          <w:rFonts w:ascii="Simplified Arabic" w:hAnsi="Simplified Arabic" w:cs="Simplified Arabic"/>
          <w:sz w:val="28"/>
          <w:szCs w:val="28"/>
          <w:rtl/>
          <w:lang w:bidi="ar-DZ"/>
        </w:rPr>
        <w:t xml:space="preserve"> يسري على المنقول قانون الدولة التي يوجد فيها وقت تحقق</w:t>
      </w:r>
      <w:r w:rsidRPr="00E46B6C">
        <w:rPr>
          <w:rFonts w:ascii="Simplified Arabic" w:hAnsi="Simplified Arabic" w:cs="Simplified Arabic"/>
          <w:b/>
          <w:bCs/>
          <w:sz w:val="28"/>
          <w:szCs w:val="28"/>
          <w:rtl/>
          <w:lang w:bidi="ar-DZ"/>
        </w:rPr>
        <w:t xml:space="preserve"> السبب الذي أدى إلى كسب </w:t>
      </w:r>
      <w:r w:rsidRPr="00E46B6C">
        <w:rPr>
          <w:rFonts w:ascii="Simplified Arabic" w:hAnsi="Simplified Arabic" w:cs="Simplified Arabic"/>
          <w:sz w:val="28"/>
          <w:szCs w:val="28"/>
          <w:rtl/>
          <w:lang w:bidi="ar-DZ"/>
        </w:rPr>
        <w:t>الحيازة أو الملكية أو الحقوق العينية الأخرى أو فقدها، طبقا للمادة 17 ف3 ق.م المعدلة بقانون 05-10.</w:t>
      </w:r>
    </w:p>
    <w:p w:rsidR="00522894" w:rsidRPr="00E46B6C" w:rsidRDefault="00522894" w:rsidP="00522894">
      <w:pPr>
        <w:bidi/>
        <w:spacing w:before="240"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sz w:val="28"/>
          <w:szCs w:val="28"/>
          <w:rtl/>
          <w:lang w:bidi="ar-DZ"/>
        </w:rPr>
        <w:t xml:space="preserve">    وعلى الرغم من بساطة هذا الحل إلا أنه يطرح في الحقيقة عدة صعوبات، والتي تنجم عن تحرك المنقول أو تحريكه.</w:t>
      </w:r>
      <w:r w:rsidRPr="00E46B6C">
        <w:rPr>
          <w:rFonts w:ascii="Simplified Arabic" w:hAnsi="Simplified Arabic" w:cs="Simplified Arabic"/>
          <w:b/>
          <w:bCs/>
          <w:sz w:val="28"/>
          <w:szCs w:val="28"/>
          <w:rtl/>
          <w:lang w:bidi="ar-DZ"/>
        </w:rPr>
        <w:t xml:space="preserve"> </w:t>
      </w:r>
    </w:p>
    <w:p w:rsidR="00522894" w:rsidRPr="00ED194B" w:rsidRDefault="00522894" w:rsidP="00522894">
      <w:pPr>
        <w:bidi/>
        <w:spacing w:before="240" w:after="0"/>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ب-1</w:t>
      </w:r>
      <w:r w:rsidRPr="00E46B6C">
        <w:rPr>
          <w:rFonts w:ascii="Simplified Arabic" w:hAnsi="Simplified Arabic" w:cs="Simplified Arabic"/>
          <w:b/>
          <w:bCs/>
          <w:sz w:val="28"/>
          <w:szCs w:val="28"/>
          <w:rtl/>
          <w:lang w:bidi="ar-DZ"/>
        </w:rPr>
        <w:t>- تحرك المنقول:</w:t>
      </w:r>
      <w:r>
        <w:rPr>
          <w:rFonts w:ascii="Simplified Arabic" w:hAnsi="Simplified Arabic" w:cs="Simplified Arabic" w:hint="cs"/>
          <w:b/>
          <w:bCs/>
          <w:sz w:val="28"/>
          <w:szCs w:val="28"/>
          <w:rtl/>
          <w:lang w:bidi="ar-DZ"/>
        </w:rPr>
        <w:t xml:space="preserve"> </w:t>
      </w:r>
      <w:r w:rsidRPr="00E46B6C">
        <w:rPr>
          <w:rFonts w:ascii="Simplified Arabic" w:hAnsi="Simplified Arabic" w:cs="Simplified Arabic"/>
          <w:sz w:val="28"/>
          <w:szCs w:val="28"/>
          <w:rtl/>
          <w:lang w:bidi="ar-DZ"/>
        </w:rPr>
        <w:t xml:space="preserve">يتحقق هذا الفرض بالنسبة للمنقولات دائمة التنقل والحركة، مما يصعب إخضاعها لقانون مكان معين، مثل السفن والطائرات، ولهذا السبب تم </w:t>
      </w:r>
      <w:r w:rsidRPr="00E46B6C">
        <w:rPr>
          <w:rFonts w:ascii="Simplified Arabic" w:hAnsi="Simplified Arabic" w:cs="Simplified Arabic"/>
          <w:b/>
          <w:bCs/>
          <w:sz w:val="28"/>
          <w:szCs w:val="28"/>
          <w:rtl/>
          <w:lang w:bidi="ar-DZ"/>
        </w:rPr>
        <w:t>استبدال قانون موقع المنقول بقانون العلم</w:t>
      </w:r>
      <w:r w:rsidRPr="00E46B6C">
        <w:rPr>
          <w:rFonts w:ascii="Simplified Arabic" w:hAnsi="Simplified Arabic" w:cs="Simplified Arabic"/>
          <w:sz w:val="28"/>
          <w:szCs w:val="28"/>
          <w:rtl/>
          <w:lang w:bidi="ar-DZ"/>
        </w:rPr>
        <w:t>.</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b/>
          <w:bCs/>
          <w:sz w:val="28"/>
          <w:szCs w:val="28"/>
          <w:rtl/>
          <w:lang w:bidi="ar-DZ"/>
        </w:rPr>
        <w:t>فالسفينـــــة</w:t>
      </w:r>
      <w:r w:rsidRPr="00E46B6C">
        <w:rPr>
          <w:rFonts w:ascii="Simplified Arabic" w:hAnsi="Simplified Arabic" w:cs="Simplified Arabic"/>
          <w:sz w:val="28"/>
          <w:szCs w:val="28"/>
          <w:rtl/>
          <w:lang w:bidi="ar-DZ"/>
        </w:rPr>
        <w:t xml:space="preserve"> تخضع </w:t>
      </w:r>
      <w:r w:rsidRPr="00E46B6C">
        <w:rPr>
          <w:rFonts w:ascii="Simplified Arabic" w:hAnsi="Simplified Arabic" w:cs="Simplified Arabic"/>
          <w:b/>
          <w:bCs/>
          <w:sz w:val="28"/>
          <w:szCs w:val="28"/>
          <w:rtl/>
          <w:lang w:bidi="ar-DZ"/>
        </w:rPr>
        <w:t>لقانون ميناء القيد</w:t>
      </w:r>
      <w:r w:rsidRPr="00E46B6C">
        <w:rPr>
          <w:rFonts w:ascii="Simplified Arabic" w:hAnsi="Simplified Arabic" w:cs="Simplified Arabic"/>
          <w:sz w:val="28"/>
          <w:szCs w:val="28"/>
          <w:rtl/>
          <w:lang w:bidi="ar-DZ"/>
        </w:rPr>
        <w:t>، كما تخضع لهذا القانون البضائع الموجودة على ظهرها</w:t>
      </w:r>
      <w:r>
        <w:rPr>
          <w:rFonts w:ascii="Simplified Arabic" w:hAnsi="Simplified Arabic" w:cs="Simplified Arabic" w:hint="cs"/>
          <w:sz w:val="28"/>
          <w:szCs w:val="28"/>
          <w:rtl/>
          <w:lang w:bidi="ar-DZ"/>
        </w:rPr>
        <w:t>،</w:t>
      </w:r>
      <w:r w:rsidRPr="00E46B6C">
        <w:rPr>
          <w:rFonts w:ascii="Simplified Arabic" w:hAnsi="Simplified Arabic" w:cs="Simplified Arabic"/>
          <w:sz w:val="28"/>
          <w:szCs w:val="28"/>
          <w:rtl/>
          <w:lang w:bidi="ar-DZ"/>
        </w:rPr>
        <w:t xml:space="preserve"> وتطبق نفس القاعدة على</w:t>
      </w:r>
      <w:r w:rsidRPr="00E46B6C">
        <w:rPr>
          <w:rFonts w:ascii="Simplified Arabic" w:hAnsi="Simplified Arabic" w:cs="Simplified Arabic"/>
          <w:b/>
          <w:bCs/>
          <w:sz w:val="28"/>
          <w:szCs w:val="28"/>
          <w:rtl/>
          <w:lang w:bidi="ar-DZ"/>
        </w:rPr>
        <w:t xml:space="preserve"> الطـــائرة</w:t>
      </w:r>
      <w:r w:rsidRPr="00E46B6C">
        <w:rPr>
          <w:rFonts w:ascii="Simplified Arabic" w:hAnsi="Simplified Arabic" w:cs="Simplified Arabic"/>
          <w:sz w:val="28"/>
          <w:szCs w:val="28"/>
          <w:rtl/>
          <w:lang w:bidi="ar-DZ"/>
        </w:rPr>
        <w:t xml:space="preserve">، إذ تخضع هي أيضا </w:t>
      </w:r>
      <w:r w:rsidRPr="00E46B6C">
        <w:rPr>
          <w:rFonts w:ascii="Simplified Arabic" w:hAnsi="Simplified Arabic" w:cs="Simplified Arabic"/>
          <w:b/>
          <w:bCs/>
          <w:sz w:val="28"/>
          <w:szCs w:val="28"/>
          <w:rtl/>
          <w:lang w:bidi="ar-DZ"/>
        </w:rPr>
        <w:t>لقانون الدولة التي سجلت فيها</w:t>
      </w:r>
      <w:r w:rsidRPr="00E46B6C">
        <w:rPr>
          <w:rFonts w:ascii="Simplified Arabic" w:hAnsi="Simplified Arabic" w:cs="Simplified Arabic"/>
          <w:sz w:val="28"/>
          <w:szCs w:val="28"/>
          <w:rtl/>
          <w:lang w:bidi="ar-DZ"/>
        </w:rPr>
        <w:t xml:space="preserve">.   </w:t>
      </w:r>
    </w:p>
    <w:p w:rsidR="00522894" w:rsidRPr="00E46B6C" w:rsidRDefault="00522894" w:rsidP="00522894">
      <w:pPr>
        <w:bidi/>
        <w:spacing w:before="240"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sz w:val="28"/>
          <w:szCs w:val="28"/>
          <w:rtl/>
          <w:lang w:bidi="ar-DZ"/>
        </w:rPr>
        <w:t xml:space="preserve">    وإذا كانت</w:t>
      </w:r>
      <w:r w:rsidRPr="00E46B6C">
        <w:rPr>
          <w:rFonts w:ascii="Simplified Arabic" w:hAnsi="Simplified Arabic" w:cs="Simplified Arabic"/>
          <w:b/>
          <w:bCs/>
          <w:sz w:val="28"/>
          <w:szCs w:val="28"/>
          <w:rtl/>
          <w:lang w:bidi="ar-DZ"/>
        </w:rPr>
        <w:t xml:space="preserve"> وسيلة النقل</w:t>
      </w:r>
      <w:r w:rsidRPr="00E46B6C">
        <w:rPr>
          <w:rFonts w:ascii="Simplified Arabic" w:hAnsi="Simplified Arabic" w:cs="Simplified Arabic"/>
          <w:sz w:val="28"/>
          <w:szCs w:val="28"/>
          <w:rtl/>
          <w:lang w:bidi="ar-DZ"/>
        </w:rPr>
        <w:t xml:space="preserve"> كقطار</w:t>
      </w:r>
      <w:r w:rsidRPr="00E46B6C">
        <w:rPr>
          <w:rFonts w:ascii="Simplified Arabic" w:hAnsi="Simplified Arabic" w:cs="Simplified Arabic"/>
          <w:b/>
          <w:bCs/>
          <w:sz w:val="28"/>
          <w:szCs w:val="28"/>
          <w:rtl/>
          <w:lang w:bidi="ar-DZ"/>
        </w:rPr>
        <w:t xml:space="preserve"> لا تحمل علم أية دولة</w:t>
      </w:r>
      <w:r w:rsidRPr="00E46B6C">
        <w:rPr>
          <w:rFonts w:ascii="Simplified Arabic" w:hAnsi="Simplified Arabic" w:cs="Simplified Arabic"/>
          <w:sz w:val="28"/>
          <w:szCs w:val="28"/>
          <w:rtl/>
          <w:lang w:bidi="ar-DZ"/>
        </w:rPr>
        <w:t>، فإن البضائع التي تحملها تخضع حسب الفقه الغالب</w:t>
      </w:r>
      <w:r w:rsidRPr="00E46B6C">
        <w:rPr>
          <w:rFonts w:ascii="Simplified Arabic" w:hAnsi="Simplified Arabic" w:cs="Simplified Arabic"/>
          <w:b/>
          <w:bCs/>
          <w:sz w:val="28"/>
          <w:szCs w:val="28"/>
          <w:rtl/>
          <w:lang w:bidi="ar-DZ"/>
        </w:rPr>
        <w:t xml:space="preserve"> لقانون الدولة المصدرة إليها</w:t>
      </w:r>
      <w:r w:rsidRPr="00E46B6C">
        <w:rPr>
          <w:rFonts w:ascii="Simplified Arabic" w:hAnsi="Simplified Arabic" w:cs="Simplified Arabic"/>
          <w:sz w:val="28"/>
          <w:szCs w:val="28"/>
          <w:rtl/>
          <w:lang w:bidi="ar-DZ"/>
        </w:rPr>
        <w:t>.</w:t>
      </w:r>
      <w:r w:rsidRPr="00E46B6C">
        <w:rPr>
          <w:rFonts w:ascii="Simplified Arabic" w:hAnsi="Simplified Arabic" w:cs="Simplified Arabic"/>
          <w:b/>
          <w:bCs/>
          <w:sz w:val="28"/>
          <w:szCs w:val="28"/>
          <w:rtl/>
          <w:lang w:bidi="ar-DZ"/>
        </w:rPr>
        <w:t xml:space="preserve"> </w:t>
      </w:r>
    </w:p>
    <w:p w:rsidR="00522894" w:rsidRPr="00ED194B" w:rsidRDefault="00522894" w:rsidP="00522894">
      <w:pPr>
        <w:bidi/>
        <w:spacing w:before="240" w:after="0"/>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ب-2</w:t>
      </w:r>
      <w:r w:rsidRPr="00E46B6C">
        <w:rPr>
          <w:rFonts w:ascii="Simplified Arabic" w:hAnsi="Simplified Arabic" w:cs="Simplified Arabic"/>
          <w:b/>
          <w:bCs/>
          <w:sz w:val="28"/>
          <w:szCs w:val="28"/>
          <w:rtl/>
          <w:lang w:bidi="ar-DZ"/>
        </w:rPr>
        <w:t xml:space="preserve">- تحريك المنقول: </w:t>
      </w:r>
      <w:r w:rsidRPr="00E46B6C">
        <w:rPr>
          <w:rFonts w:ascii="Simplified Arabic" w:hAnsi="Simplified Arabic" w:cs="Simplified Arabic"/>
          <w:sz w:val="28"/>
          <w:szCs w:val="28"/>
          <w:rtl/>
          <w:lang w:bidi="ar-DZ"/>
        </w:rPr>
        <w:t xml:space="preserve">يترتب على نقل منقول من إقليم لآخر، ما يسمى </w:t>
      </w:r>
      <w:r w:rsidRPr="00E46B6C">
        <w:rPr>
          <w:rFonts w:ascii="Simplified Arabic" w:hAnsi="Simplified Arabic" w:cs="Simplified Arabic"/>
          <w:b/>
          <w:bCs/>
          <w:sz w:val="28"/>
          <w:szCs w:val="28"/>
          <w:rtl/>
          <w:lang w:bidi="ar-DZ"/>
        </w:rPr>
        <w:t>بالتنازع المتحرك</w:t>
      </w:r>
      <w:r w:rsidRPr="00E46B6C">
        <w:rPr>
          <w:rFonts w:ascii="Simplified Arabic" w:hAnsi="Simplified Arabic" w:cs="Simplified Arabic"/>
          <w:sz w:val="28"/>
          <w:szCs w:val="28"/>
          <w:rtl/>
          <w:lang w:bidi="ar-DZ"/>
        </w:rPr>
        <w:t xml:space="preserve">. ويثار عندئذ تنازع بين قانونين، قانون الموقع القديم وقانون الموقع الجديد، فإذا باع شخص لآخر منقولا موجودا في سويسرا، </w:t>
      </w:r>
      <w:r w:rsidRPr="00E46B6C">
        <w:rPr>
          <w:rFonts w:ascii="Simplified Arabic" w:hAnsi="Simplified Arabic" w:cs="Simplified Arabic"/>
          <w:b/>
          <w:bCs/>
          <w:sz w:val="28"/>
          <w:szCs w:val="28"/>
          <w:rtl/>
          <w:lang w:bidi="ar-DZ"/>
        </w:rPr>
        <w:t>دون تسليمه له</w:t>
      </w:r>
      <w:r w:rsidRPr="00E46B6C">
        <w:rPr>
          <w:rFonts w:ascii="Simplified Arabic" w:hAnsi="Simplified Arabic" w:cs="Simplified Arabic"/>
          <w:sz w:val="28"/>
          <w:szCs w:val="28"/>
          <w:rtl/>
          <w:lang w:bidi="ar-DZ"/>
        </w:rPr>
        <w:t xml:space="preserve">، مع أن القانون السويسري يشترط </w:t>
      </w:r>
      <w:r w:rsidRPr="00E46B6C">
        <w:rPr>
          <w:rFonts w:ascii="Simplified Arabic" w:hAnsi="Simplified Arabic" w:cs="Simplified Arabic"/>
          <w:b/>
          <w:bCs/>
          <w:sz w:val="28"/>
          <w:szCs w:val="28"/>
          <w:rtl/>
          <w:lang w:bidi="ar-DZ"/>
        </w:rPr>
        <w:t>التسليـــم</w:t>
      </w:r>
      <w:r w:rsidRPr="00E46B6C">
        <w:rPr>
          <w:rFonts w:ascii="Simplified Arabic" w:hAnsi="Simplified Arabic" w:cs="Simplified Arabic"/>
          <w:sz w:val="28"/>
          <w:szCs w:val="28"/>
          <w:rtl/>
          <w:lang w:bidi="ar-DZ"/>
        </w:rPr>
        <w:t xml:space="preserve"> لانعقاد البيع الوارد على المنقول، ثم نقل هذا المنقول إلى الجزائر الذي لا يشترط قانونها ذلك، فهل يحق للمشتري التصرف فيه باعتباره مالكا أم لا؟ </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في هذه الحالة لا يجوز للمشتري أن يدعي ملكيته للمنقول في الجزائر، حيث يطبق قانون الموقع القديم، قياسا على الحل المعتمد في تنازع القوانين من حيث الزمان، أما إذا نشأ الحق وفقا لقانون دولة معينة، فيجوز التمسك بنفاذ هذا الحق في دولة أخرى </w:t>
      </w:r>
      <w:r w:rsidRPr="00E46B6C">
        <w:rPr>
          <w:rFonts w:ascii="Simplified Arabic" w:hAnsi="Simplified Arabic" w:cs="Simplified Arabic"/>
          <w:b/>
          <w:bCs/>
          <w:sz w:val="28"/>
          <w:szCs w:val="28"/>
          <w:rtl/>
          <w:lang w:bidi="ar-DZ"/>
        </w:rPr>
        <w:t>رغم أن قانونها لا يقر نشؤه</w:t>
      </w:r>
      <w:r w:rsidRPr="00E46B6C">
        <w:rPr>
          <w:rFonts w:ascii="Simplified Arabic" w:hAnsi="Simplified Arabic" w:cs="Simplified Arabic"/>
          <w:sz w:val="28"/>
          <w:szCs w:val="28"/>
          <w:rtl/>
          <w:lang w:bidi="ar-DZ"/>
        </w:rPr>
        <w:t xml:space="preserve">، تكريسا </w:t>
      </w:r>
      <w:r w:rsidRPr="00E46B6C">
        <w:rPr>
          <w:rFonts w:ascii="Simplified Arabic" w:hAnsi="Simplified Arabic" w:cs="Simplified Arabic"/>
          <w:b/>
          <w:bCs/>
          <w:sz w:val="28"/>
          <w:szCs w:val="28"/>
          <w:rtl/>
          <w:lang w:bidi="ar-DZ"/>
        </w:rPr>
        <w:t>لمبدأ الاحترام الدولي للحقوق المكتسبة</w:t>
      </w:r>
      <w:r w:rsidRPr="00E46B6C">
        <w:rPr>
          <w:rFonts w:ascii="Simplified Arabic" w:hAnsi="Simplified Arabic" w:cs="Simplified Arabic"/>
          <w:sz w:val="28"/>
          <w:szCs w:val="28"/>
          <w:rtl/>
          <w:lang w:bidi="ar-DZ"/>
        </w:rPr>
        <w:t xml:space="preserve">، </w:t>
      </w:r>
      <w:r w:rsidR="00F06E84">
        <w:rPr>
          <w:rFonts w:ascii="Simplified Arabic" w:hAnsi="Simplified Arabic" w:cs="Simplified Arabic"/>
          <w:sz w:val="28"/>
          <w:szCs w:val="28"/>
          <w:rtl/>
          <w:lang w:bidi="ar-DZ"/>
        </w:rPr>
        <w:t>فإذا اكتسب شخص منقولا بسند صحيح وبحسن نية</w:t>
      </w:r>
      <w:r w:rsidRPr="00E46B6C">
        <w:rPr>
          <w:rFonts w:ascii="Simplified Arabic" w:hAnsi="Simplified Arabic" w:cs="Simplified Arabic"/>
          <w:sz w:val="28"/>
          <w:szCs w:val="28"/>
          <w:rtl/>
          <w:lang w:bidi="ar-DZ"/>
        </w:rPr>
        <w:t xml:space="preserve"> في دولة يعتد قانونها </w:t>
      </w:r>
      <w:r w:rsidRPr="00E46B6C">
        <w:rPr>
          <w:rFonts w:ascii="Simplified Arabic" w:hAnsi="Simplified Arabic" w:cs="Simplified Arabic"/>
          <w:b/>
          <w:bCs/>
          <w:sz w:val="28"/>
          <w:szCs w:val="28"/>
          <w:rtl/>
          <w:lang w:bidi="ar-DZ"/>
        </w:rPr>
        <w:t>بالحيازة كطريق لاكتساب الملكية</w:t>
      </w:r>
      <w:r w:rsidRPr="00E46B6C">
        <w:rPr>
          <w:rFonts w:ascii="Simplified Arabic" w:hAnsi="Simplified Arabic" w:cs="Simplified Arabic"/>
          <w:sz w:val="28"/>
          <w:szCs w:val="28"/>
          <w:rtl/>
          <w:lang w:bidi="ar-DZ"/>
        </w:rPr>
        <w:t>، فيظل حقه نافذا ولو انتقل المنقول إلى دولة لا يقر قانونها الحيازة كسبب من أسباب كسب الملكية.</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وهذا معنى عبارة "..قانون الجهة التي يوجد بها المنقول </w:t>
      </w:r>
      <w:r w:rsidRPr="00E46B6C">
        <w:rPr>
          <w:rFonts w:ascii="Simplified Arabic" w:hAnsi="Simplified Arabic" w:cs="Simplified Arabic"/>
          <w:b/>
          <w:bCs/>
          <w:sz w:val="28"/>
          <w:szCs w:val="28"/>
          <w:rtl/>
          <w:lang w:bidi="ar-DZ"/>
        </w:rPr>
        <w:t xml:space="preserve">وقت تحقق السبب الذي ترتب عليه كسب الحيازة </w:t>
      </w:r>
      <w:r w:rsidRPr="00E46B6C">
        <w:rPr>
          <w:rFonts w:ascii="Simplified Arabic" w:hAnsi="Simplified Arabic" w:cs="Simplified Arabic"/>
          <w:sz w:val="28"/>
          <w:szCs w:val="28"/>
          <w:rtl/>
          <w:lang w:bidi="ar-DZ"/>
        </w:rPr>
        <w:t>..أو فقدها". وفي هذا تكريس لمبدأ الاحترام الدولي للحقوق المكتسبة.</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ولكن </w:t>
      </w:r>
      <w:r w:rsidRPr="00E46B6C">
        <w:rPr>
          <w:rFonts w:ascii="Simplified Arabic" w:hAnsi="Simplified Arabic" w:cs="Simplified Arabic"/>
          <w:b/>
          <w:bCs/>
          <w:sz w:val="28"/>
          <w:szCs w:val="28"/>
          <w:rtl/>
          <w:lang w:bidi="ar-DZ"/>
        </w:rPr>
        <w:t>ممارسة الحق</w:t>
      </w:r>
      <w:r w:rsidRPr="00E46B6C">
        <w:rPr>
          <w:rFonts w:ascii="Simplified Arabic" w:hAnsi="Simplified Arabic" w:cs="Simplified Arabic"/>
          <w:sz w:val="28"/>
          <w:szCs w:val="28"/>
          <w:rtl/>
          <w:lang w:bidi="ar-DZ"/>
        </w:rPr>
        <w:t xml:space="preserve"> الذي اكتسب </w:t>
      </w:r>
      <w:r>
        <w:rPr>
          <w:rFonts w:ascii="Simplified Arabic" w:hAnsi="Simplified Arabic" w:cs="Simplified Arabic"/>
          <w:sz w:val="28"/>
          <w:szCs w:val="28"/>
          <w:rtl/>
          <w:lang w:bidi="ar-DZ"/>
        </w:rPr>
        <w:t>على المنقول يكون وفق</w:t>
      </w:r>
      <w:r w:rsidR="00F06E84">
        <w:rPr>
          <w:rFonts w:ascii="Simplified Arabic" w:hAnsi="Simplified Arabic" w:cs="Simplified Arabic"/>
          <w:sz w:val="28"/>
          <w:szCs w:val="28"/>
          <w:rtl/>
          <w:lang w:bidi="ar-DZ"/>
        </w:rPr>
        <w:t xml:space="preserve"> </w:t>
      </w:r>
      <w:r w:rsidR="00F06E84">
        <w:rPr>
          <w:rFonts w:ascii="Simplified Arabic" w:hAnsi="Simplified Arabic" w:cs="Simplified Arabic" w:hint="cs"/>
          <w:sz w:val="28"/>
          <w:szCs w:val="28"/>
          <w:rtl/>
          <w:lang w:bidi="ar-DZ"/>
        </w:rPr>
        <w:t>ل</w:t>
      </w:r>
      <w:r w:rsidRPr="00E46B6C">
        <w:rPr>
          <w:rFonts w:ascii="Simplified Arabic" w:hAnsi="Simplified Arabic" w:cs="Simplified Arabic"/>
          <w:sz w:val="28"/>
          <w:szCs w:val="28"/>
          <w:rtl/>
          <w:lang w:bidi="ar-DZ"/>
        </w:rPr>
        <w:t xml:space="preserve">قانون </w:t>
      </w:r>
      <w:r w:rsidRPr="00E46B6C">
        <w:rPr>
          <w:rFonts w:ascii="Simplified Arabic" w:hAnsi="Simplified Arabic" w:cs="Simplified Arabic"/>
          <w:b/>
          <w:bCs/>
          <w:sz w:val="28"/>
          <w:szCs w:val="28"/>
          <w:rtl/>
          <w:lang w:bidi="ar-DZ"/>
        </w:rPr>
        <w:t>موقعه الجديد</w:t>
      </w:r>
      <w:r w:rsidRPr="00E46B6C">
        <w:rPr>
          <w:rFonts w:ascii="Simplified Arabic" w:hAnsi="Simplified Arabic" w:cs="Simplified Arabic"/>
          <w:sz w:val="28"/>
          <w:szCs w:val="28"/>
          <w:rtl/>
          <w:lang w:bidi="ar-DZ"/>
        </w:rPr>
        <w:t>.</w:t>
      </w:r>
    </w:p>
    <w:p w:rsidR="00522894" w:rsidRPr="00E46B6C" w:rsidRDefault="00522894" w:rsidP="00522894">
      <w:pPr>
        <w:bidi/>
        <w:spacing w:before="240"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b/>
          <w:bCs/>
          <w:sz w:val="28"/>
          <w:szCs w:val="28"/>
          <w:rtl/>
          <w:lang w:bidi="ar-DZ"/>
        </w:rPr>
        <w:t>المبحث الثاني: القانون الواجب التطبيق على الأموال المعنوية:</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الأموال المعنوية هي أشياء لا تدرك بالحس إلا أنها لها قيمة مالية، تصلح لأن تكون محلا للحق العيني، وأكثر الأشياء المعنوية من نتاج العقل والتفكير، وقد أخضع المشرع تنظيم الحقوق التي ترد على الأشياء غير المادية لقوانين خاصة، وهذا ما نصت عليه المادة 687 ق.م. </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lastRenderedPageBreak/>
        <w:t xml:space="preserve">    وتتمثل تلك الحقوق في</w:t>
      </w:r>
      <w:r w:rsidRPr="00E46B6C">
        <w:rPr>
          <w:rFonts w:ascii="Simplified Arabic" w:hAnsi="Simplified Arabic" w:cs="Simplified Arabic"/>
          <w:b/>
          <w:bCs/>
          <w:sz w:val="28"/>
          <w:szCs w:val="28"/>
          <w:rtl/>
          <w:lang w:bidi="ar-DZ"/>
        </w:rPr>
        <w:t xml:space="preserve"> حقوق الملكية الأدبية والفنية</w:t>
      </w:r>
      <w:r w:rsidRPr="00E46B6C">
        <w:rPr>
          <w:rFonts w:ascii="Simplified Arabic" w:hAnsi="Simplified Arabic" w:cs="Simplified Arabic"/>
          <w:sz w:val="28"/>
          <w:szCs w:val="28"/>
          <w:rtl/>
          <w:lang w:bidi="ar-DZ"/>
        </w:rPr>
        <w:t>، أو ما يعرف بحقوق المؤلف والحقوق المجاورة، و</w:t>
      </w:r>
      <w:r w:rsidRPr="00E46B6C">
        <w:rPr>
          <w:rFonts w:ascii="Simplified Arabic" w:hAnsi="Simplified Arabic" w:cs="Simplified Arabic"/>
          <w:b/>
          <w:bCs/>
          <w:sz w:val="28"/>
          <w:szCs w:val="28"/>
          <w:rtl/>
          <w:lang w:bidi="ar-DZ"/>
        </w:rPr>
        <w:t>حقوق الملكية الصناعية والتجارية</w:t>
      </w:r>
      <w:r w:rsidRPr="00E46B6C">
        <w:rPr>
          <w:rFonts w:ascii="Simplified Arabic" w:hAnsi="Simplified Arabic" w:cs="Simplified Arabic"/>
          <w:sz w:val="28"/>
          <w:szCs w:val="28"/>
          <w:rtl/>
          <w:lang w:bidi="ar-DZ"/>
        </w:rPr>
        <w:t xml:space="preserve">، والتي تشمل براءة الاختراع، والرسوم والنماذج الصناعية، والعلامة التجارية، تسميات المنشأ، والاسم والعنوان التجاري.  </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ويسري على الأموال المعنوية على غرار الأموال المنقولة المادية، </w:t>
      </w:r>
      <w:r w:rsidRPr="00E46B6C">
        <w:rPr>
          <w:rFonts w:ascii="Simplified Arabic" w:hAnsi="Simplified Arabic" w:cs="Simplified Arabic"/>
          <w:b/>
          <w:bCs/>
          <w:sz w:val="28"/>
          <w:szCs w:val="28"/>
          <w:rtl/>
          <w:lang w:bidi="ar-DZ"/>
        </w:rPr>
        <w:t>قانون مكان وجودها وقت تحقق السبب</w:t>
      </w:r>
      <w:r w:rsidRPr="00E46B6C">
        <w:rPr>
          <w:rFonts w:ascii="Simplified Arabic" w:hAnsi="Simplified Arabic" w:cs="Simplified Arabic"/>
          <w:sz w:val="28"/>
          <w:szCs w:val="28"/>
          <w:rtl/>
          <w:lang w:bidi="ar-DZ"/>
        </w:rPr>
        <w:t xml:space="preserve"> الذي ترتب عليه كسب الحيازة أو الملكية أو الحقوق العينية الأخرى أو فقدها، وفقا للمادة 17 مكرر ف1 المضافة بقانون 05-1. </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غير أن حق الملكية الأدبية والفنية(حق المؤلّف والحقوق المجاورة)، يخضع </w:t>
      </w:r>
      <w:r w:rsidRPr="00E46B6C">
        <w:rPr>
          <w:rFonts w:ascii="Simplified Arabic" w:hAnsi="Simplified Arabic" w:cs="Simplified Arabic"/>
          <w:b/>
          <w:bCs/>
          <w:sz w:val="28"/>
          <w:szCs w:val="28"/>
          <w:rtl/>
          <w:lang w:bidi="ar-DZ"/>
        </w:rPr>
        <w:t>لقانون الدولة التي تم فيها نشر المصنف أو إنجازه لأوّل مرّة</w:t>
      </w:r>
      <w:r w:rsidRPr="00E46B6C">
        <w:rPr>
          <w:rFonts w:ascii="Simplified Arabic" w:hAnsi="Simplified Arabic" w:cs="Simplified Arabic"/>
          <w:sz w:val="28"/>
          <w:szCs w:val="28"/>
          <w:rtl/>
          <w:lang w:bidi="ar-DZ"/>
        </w:rPr>
        <w:t xml:space="preserve"> وفقا للمادة 17 مكررف2 -1 ق.م.</w:t>
      </w:r>
    </w:p>
    <w:p w:rsidR="00522894" w:rsidRPr="00E46B6C" w:rsidRDefault="00522894" w:rsidP="00522894">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وتخضع</w:t>
      </w:r>
      <w:r w:rsidRPr="00E46B6C">
        <w:rPr>
          <w:rFonts w:ascii="Simplified Arabic" w:hAnsi="Simplified Arabic" w:cs="Simplified Arabic"/>
          <w:b/>
          <w:bCs/>
          <w:sz w:val="28"/>
          <w:szCs w:val="28"/>
          <w:rtl/>
          <w:lang w:bidi="ar-DZ"/>
        </w:rPr>
        <w:t xml:space="preserve"> </w:t>
      </w:r>
      <w:r w:rsidRPr="00E46B6C">
        <w:rPr>
          <w:rFonts w:ascii="Simplified Arabic" w:hAnsi="Simplified Arabic" w:cs="Simplified Arabic"/>
          <w:sz w:val="28"/>
          <w:szCs w:val="28"/>
          <w:rtl/>
          <w:lang w:bidi="ar-DZ"/>
        </w:rPr>
        <w:t xml:space="preserve">براءة الاختراع </w:t>
      </w:r>
      <w:r w:rsidRPr="00E46B6C">
        <w:rPr>
          <w:rFonts w:ascii="Simplified Arabic" w:hAnsi="Simplified Arabic" w:cs="Simplified Arabic"/>
          <w:b/>
          <w:bCs/>
          <w:sz w:val="28"/>
          <w:szCs w:val="28"/>
          <w:rtl/>
          <w:lang w:bidi="ar-DZ"/>
        </w:rPr>
        <w:t>لقانون الدولة المانحة لها</w:t>
      </w:r>
      <w:r w:rsidRPr="00E46B6C">
        <w:rPr>
          <w:rFonts w:ascii="Simplified Arabic" w:hAnsi="Simplified Arabic" w:cs="Simplified Arabic"/>
          <w:sz w:val="28"/>
          <w:szCs w:val="28"/>
          <w:rtl/>
          <w:lang w:bidi="ar-DZ"/>
        </w:rPr>
        <w:t xml:space="preserve"> وفقا للمادة 17 مكررف2-2 ق.م.</w:t>
      </w:r>
    </w:p>
    <w:p w:rsidR="00522894" w:rsidRPr="00E46B6C" w:rsidRDefault="00522894" w:rsidP="00522894">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يخضع الرسم والنموذج الصناعي </w:t>
      </w:r>
      <w:r w:rsidRPr="00E46B6C">
        <w:rPr>
          <w:rFonts w:ascii="Simplified Arabic" w:hAnsi="Simplified Arabic" w:cs="Simplified Arabic"/>
          <w:b/>
          <w:bCs/>
          <w:sz w:val="28"/>
          <w:szCs w:val="28"/>
          <w:rtl/>
          <w:lang w:bidi="ar-DZ"/>
        </w:rPr>
        <w:t xml:space="preserve">لقانون الدولة الذي سجل أو أودع فيها </w:t>
      </w:r>
      <w:r w:rsidRPr="00E46B6C">
        <w:rPr>
          <w:rFonts w:ascii="Simplified Arabic" w:hAnsi="Simplified Arabic" w:cs="Simplified Arabic"/>
          <w:sz w:val="28"/>
          <w:szCs w:val="28"/>
          <w:rtl/>
          <w:lang w:bidi="ar-DZ"/>
        </w:rPr>
        <w:t>وفقا للمادة 17 مكررف2-3 ق.م.</w:t>
      </w:r>
    </w:p>
    <w:p w:rsidR="00522894" w:rsidRPr="00E46B6C" w:rsidRDefault="00522894" w:rsidP="00522894">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تخضع العلامة التجارية</w:t>
      </w:r>
      <w:r w:rsidRPr="00E46B6C">
        <w:rPr>
          <w:rFonts w:ascii="Simplified Arabic" w:hAnsi="Simplified Arabic" w:cs="Simplified Arabic"/>
          <w:b/>
          <w:bCs/>
          <w:sz w:val="28"/>
          <w:szCs w:val="28"/>
          <w:rtl/>
          <w:lang w:bidi="ar-DZ"/>
        </w:rPr>
        <w:t xml:space="preserve"> لقانون الدولة التي يوجد بها مشروع استغلالها </w:t>
      </w:r>
      <w:r w:rsidRPr="00E46B6C">
        <w:rPr>
          <w:rFonts w:ascii="Simplified Arabic" w:hAnsi="Simplified Arabic" w:cs="Simplified Arabic"/>
          <w:sz w:val="28"/>
          <w:szCs w:val="28"/>
          <w:rtl/>
          <w:lang w:bidi="ar-DZ"/>
        </w:rPr>
        <w:t>وفقا للمادة 17 مكرر ف2-4 ق.م.</w:t>
      </w:r>
    </w:p>
    <w:p w:rsidR="00522894" w:rsidRPr="00E46B6C" w:rsidRDefault="00522894" w:rsidP="00522894">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يخضع الاسم التجاري </w:t>
      </w:r>
      <w:r w:rsidRPr="00E46B6C">
        <w:rPr>
          <w:rFonts w:ascii="Simplified Arabic" w:hAnsi="Simplified Arabic" w:cs="Simplified Arabic"/>
          <w:b/>
          <w:bCs/>
          <w:sz w:val="28"/>
          <w:szCs w:val="28"/>
          <w:rtl/>
          <w:lang w:bidi="ar-DZ"/>
        </w:rPr>
        <w:t>لقانون الدولة التي يوجد بها المقر الرئيسي للمحل التجاري</w:t>
      </w:r>
      <w:r w:rsidRPr="00E46B6C">
        <w:rPr>
          <w:rFonts w:ascii="Simplified Arabic" w:hAnsi="Simplified Arabic" w:cs="Simplified Arabic"/>
          <w:sz w:val="28"/>
          <w:szCs w:val="28"/>
          <w:rtl/>
          <w:lang w:bidi="ar-DZ"/>
        </w:rPr>
        <w:t xml:space="preserve"> وفقا للمادة 17 مكرر ف2-5 ق.م.</w:t>
      </w:r>
    </w:p>
    <w:p w:rsidR="00522894" w:rsidRPr="00E46B6C" w:rsidRDefault="00522894" w:rsidP="00522894">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وتتحدد وفقا لهذه القوانين، الحقوق والالتزامات التي تنشئها حقوق الملكية الأدبية والفنية، وحقوق الملكية الصناعية، لأصحابها، كالحقوق الممنوحة لملك براءة الاختراع، والالتزامات التي تفرضها عليه، مثلا.  </w:t>
      </w:r>
    </w:p>
    <w:p w:rsidR="00522894" w:rsidRPr="00E46B6C" w:rsidRDefault="00522894" w:rsidP="00522894">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w:t>
      </w:r>
    </w:p>
    <w:p w:rsidR="00542187" w:rsidRPr="00A46914" w:rsidRDefault="00542187" w:rsidP="00A46914">
      <w:pPr>
        <w:tabs>
          <w:tab w:val="right" w:pos="7313"/>
        </w:tabs>
        <w:bidi/>
        <w:rPr>
          <w:rFonts w:ascii="Simplified Arabic" w:hAnsi="Simplified Arabic" w:cs="Simplified Arabic"/>
          <w:sz w:val="28"/>
          <w:szCs w:val="28"/>
          <w:rtl/>
          <w:lang w:bidi="ar-DZ"/>
        </w:rPr>
      </w:pPr>
    </w:p>
    <w:sectPr w:rsidR="00542187" w:rsidRPr="00A46914" w:rsidSect="000D09C6">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C88" w:rsidRDefault="00383C88" w:rsidP="00522894">
      <w:pPr>
        <w:spacing w:after="0" w:line="240" w:lineRule="auto"/>
      </w:pPr>
      <w:r>
        <w:separator/>
      </w:r>
    </w:p>
  </w:endnote>
  <w:endnote w:type="continuationSeparator" w:id="1">
    <w:p w:rsidR="00383C88" w:rsidRDefault="00383C88" w:rsidP="005228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90326"/>
      <w:docPartObj>
        <w:docPartGallery w:val="Page Numbers (Bottom of Page)"/>
        <w:docPartUnique/>
      </w:docPartObj>
    </w:sdtPr>
    <w:sdtContent>
      <w:p w:rsidR="00522894" w:rsidRDefault="00E91B38">
        <w:pPr>
          <w:pStyle w:val="Pieddepage"/>
          <w:jc w:val="center"/>
        </w:pPr>
        <w:fldSimple w:instr=" PAGE   \* MERGEFORMAT ">
          <w:r w:rsidR="00AD08A1">
            <w:rPr>
              <w:noProof/>
            </w:rPr>
            <w:t>3</w:t>
          </w:r>
        </w:fldSimple>
      </w:p>
    </w:sdtContent>
  </w:sdt>
  <w:p w:rsidR="00522894" w:rsidRDefault="0052289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C88" w:rsidRDefault="00383C88" w:rsidP="00522894">
      <w:pPr>
        <w:spacing w:after="0" w:line="240" w:lineRule="auto"/>
      </w:pPr>
      <w:r>
        <w:separator/>
      </w:r>
    </w:p>
  </w:footnote>
  <w:footnote w:type="continuationSeparator" w:id="1">
    <w:p w:rsidR="00383C88" w:rsidRDefault="00383C88" w:rsidP="00522894">
      <w:pPr>
        <w:spacing w:after="0" w:line="240" w:lineRule="auto"/>
      </w:pPr>
      <w:r>
        <w:continuationSeparator/>
      </w:r>
    </w:p>
  </w:footnote>
  <w:footnote w:id="2">
    <w:p w:rsidR="009742E1" w:rsidRPr="008B3FDD" w:rsidRDefault="009742E1" w:rsidP="008C03A5">
      <w:pPr>
        <w:pStyle w:val="Notedebasdepage"/>
        <w:bidi/>
        <w:ind w:left="-625"/>
        <w:jc w:val="both"/>
        <w:rPr>
          <w:rFonts w:ascii="Simplified Arabic" w:hAnsi="Simplified Arabic" w:cs="Simplified Arabic"/>
          <w:sz w:val="24"/>
          <w:szCs w:val="24"/>
          <w:rtl/>
          <w:lang w:bidi="ar-DZ"/>
        </w:rPr>
      </w:pPr>
      <w:r w:rsidRPr="008B3FDD">
        <w:rPr>
          <w:rStyle w:val="Appelnotedebasdep"/>
          <w:rFonts w:ascii="Simplified Arabic" w:hAnsi="Simplified Arabic" w:cs="Simplified Arabic"/>
          <w:sz w:val="24"/>
          <w:szCs w:val="24"/>
        </w:rPr>
        <w:footnoteRef/>
      </w:r>
      <w:r w:rsidRPr="008B3FDD">
        <w:rPr>
          <w:rFonts w:ascii="Simplified Arabic" w:hAnsi="Simplified Arabic" w:cs="Simplified Arabic"/>
          <w:sz w:val="24"/>
          <w:szCs w:val="24"/>
          <w:rtl/>
          <w:lang w:bidi="ar-DZ"/>
        </w:rPr>
        <w:t xml:space="preserve">- خضوع التصرفات الواردة على العقار لقاعدة لوكيس أي </w:t>
      </w:r>
      <w:r w:rsidR="002F5B6F">
        <w:rPr>
          <w:rFonts w:ascii="Simplified Arabic" w:hAnsi="Simplified Arabic" w:cs="Simplified Arabic" w:hint="cs"/>
          <w:sz w:val="24"/>
          <w:szCs w:val="24"/>
          <w:rtl/>
          <w:lang w:bidi="ar-DZ"/>
        </w:rPr>
        <w:t>لقانون</w:t>
      </w:r>
      <w:r w:rsidRPr="008B3FDD">
        <w:rPr>
          <w:rFonts w:ascii="Simplified Arabic" w:hAnsi="Simplified Arabic" w:cs="Simplified Arabic"/>
          <w:sz w:val="24"/>
          <w:szCs w:val="24"/>
          <w:rtl/>
          <w:lang w:bidi="ar-DZ"/>
        </w:rPr>
        <w:t xml:space="preserve"> محل الإبرام محل خلاف فقهي، فهناك من ينادي ب</w:t>
      </w:r>
      <w:r w:rsidR="002F5B6F">
        <w:rPr>
          <w:rFonts w:ascii="Simplified Arabic" w:hAnsi="Simplified Arabic" w:cs="Simplified Arabic" w:hint="cs"/>
          <w:sz w:val="24"/>
          <w:szCs w:val="24"/>
          <w:rtl/>
          <w:lang w:bidi="ar-DZ"/>
        </w:rPr>
        <w:t xml:space="preserve">إخضاع </w:t>
      </w:r>
      <w:r w:rsidRPr="008B3FDD">
        <w:rPr>
          <w:rFonts w:ascii="Simplified Arabic" w:hAnsi="Simplified Arabic" w:cs="Simplified Arabic"/>
          <w:sz w:val="24"/>
          <w:szCs w:val="24"/>
          <w:rtl/>
          <w:lang w:bidi="ar-DZ"/>
        </w:rPr>
        <w:t xml:space="preserve">شكل التصرف الوارد على </w:t>
      </w:r>
      <w:r w:rsidR="008B3FDD">
        <w:rPr>
          <w:rFonts w:ascii="Simplified Arabic" w:hAnsi="Simplified Arabic" w:cs="Simplified Arabic" w:hint="cs"/>
          <w:sz w:val="24"/>
          <w:szCs w:val="24"/>
          <w:rtl/>
          <w:lang w:bidi="ar-DZ"/>
        </w:rPr>
        <w:t>ال</w:t>
      </w:r>
      <w:r w:rsidRPr="008B3FDD">
        <w:rPr>
          <w:rFonts w:ascii="Simplified Arabic" w:hAnsi="Simplified Arabic" w:cs="Simplified Arabic"/>
          <w:sz w:val="24"/>
          <w:szCs w:val="24"/>
          <w:rtl/>
          <w:lang w:bidi="ar-DZ"/>
        </w:rPr>
        <w:t>عقار لقانون موقعه</w:t>
      </w:r>
      <w:r w:rsidR="008B3FDD">
        <w:rPr>
          <w:rFonts w:ascii="Simplified Arabic" w:hAnsi="Simplified Arabic" w:cs="Simplified Arabic" w:hint="cs"/>
          <w:sz w:val="24"/>
          <w:szCs w:val="24"/>
          <w:rtl/>
          <w:lang w:bidi="ar-DZ"/>
        </w:rPr>
        <w:t xml:space="preserve">(المادة 18 الفقرة </w:t>
      </w:r>
      <w:r w:rsidR="00EE0BA7">
        <w:rPr>
          <w:rFonts w:ascii="Simplified Arabic" w:hAnsi="Simplified Arabic" w:cs="Simplified Arabic" w:hint="cs"/>
          <w:sz w:val="24"/>
          <w:szCs w:val="24"/>
          <w:rtl/>
          <w:lang w:bidi="ar-DZ"/>
        </w:rPr>
        <w:t>2 ق.م)</w:t>
      </w:r>
      <w:r w:rsidR="00650A73">
        <w:rPr>
          <w:rFonts w:ascii="Simplified Arabic" w:hAnsi="Simplified Arabic" w:cs="Simplified Arabic" w:hint="cs"/>
          <w:sz w:val="24"/>
          <w:szCs w:val="24"/>
          <w:rtl/>
          <w:lang w:bidi="ar-DZ"/>
        </w:rPr>
        <w:t xml:space="preserve"> لاسيما إذا ما كان الشكل مطلوبا للانعقاد</w:t>
      </w:r>
      <w:r w:rsidRPr="008B3FDD">
        <w:rPr>
          <w:rFonts w:ascii="Simplified Arabic" w:hAnsi="Simplified Arabic" w:cs="Simplified Arabic"/>
          <w:sz w:val="24"/>
          <w:szCs w:val="24"/>
          <w:rtl/>
          <w:lang w:bidi="ar-DZ"/>
        </w:rPr>
        <w:t>، وهناك من ينادي بإخضاعه لقانون محل الإبرام أي لنص المادة 19 من القانون المدني</w:t>
      </w:r>
      <w:r w:rsidR="00650A73">
        <w:rPr>
          <w:rFonts w:ascii="Simplified Arabic" w:hAnsi="Simplified Arabic" w:cs="Simplified Arabic" w:hint="cs"/>
          <w:sz w:val="24"/>
          <w:szCs w:val="24"/>
          <w:rtl/>
          <w:lang w:bidi="ar-DZ"/>
        </w:rPr>
        <w:t xml:space="preserve"> حتى لو كان مطلوبا لانعقاد العقد</w:t>
      </w:r>
      <w:r w:rsidR="008B3FDD" w:rsidRPr="008B3FDD">
        <w:rPr>
          <w:rFonts w:ascii="Simplified Arabic" w:hAnsi="Simplified Arabic" w:cs="Simplified Arabic"/>
          <w:sz w:val="24"/>
          <w:szCs w:val="24"/>
          <w:rtl/>
          <w:lang w:bidi="ar-DZ"/>
        </w:rPr>
        <w:t>،</w:t>
      </w:r>
      <w:r w:rsidR="00371D6E">
        <w:rPr>
          <w:rFonts w:ascii="Simplified Arabic" w:hAnsi="Simplified Arabic" w:cs="Simplified Arabic" w:hint="cs"/>
          <w:sz w:val="24"/>
          <w:szCs w:val="24"/>
          <w:rtl/>
          <w:lang w:bidi="ar-DZ"/>
        </w:rPr>
        <w:t xml:space="preserve"> طالما تقرّرت هذه القاعدة لتيسير إبرام العقود،</w:t>
      </w:r>
      <w:r w:rsidR="008B3FDD" w:rsidRPr="008B3FDD">
        <w:rPr>
          <w:rFonts w:ascii="Simplified Arabic" w:hAnsi="Simplified Arabic" w:cs="Simplified Arabic"/>
          <w:sz w:val="24"/>
          <w:szCs w:val="24"/>
          <w:rtl/>
          <w:lang w:bidi="ar-DZ"/>
        </w:rPr>
        <w:t xml:space="preserve"> وهو الرأي الراجح.</w:t>
      </w:r>
      <w:r w:rsidRPr="008B3FDD">
        <w:rPr>
          <w:rFonts w:ascii="Simplified Arabic" w:hAnsi="Simplified Arabic" w:cs="Simplified Arabic"/>
          <w:sz w:val="24"/>
          <w:szCs w:val="24"/>
          <w:rtl/>
          <w:lang w:bidi="ar-DZ"/>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A46914"/>
    <w:rsid w:val="00005F36"/>
    <w:rsid w:val="0007631E"/>
    <w:rsid w:val="000D09C6"/>
    <w:rsid w:val="002F5B6F"/>
    <w:rsid w:val="00371D6E"/>
    <w:rsid w:val="00383C88"/>
    <w:rsid w:val="00522894"/>
    <w:rsid w:val="00542187"/>
    <w:rsid w:val="00577B83"/>
    <w:rsid w:val="00650A73"/>
    <w:rsid w:val="008B3FDD"/>
    <w:rsid w:val="008C03A5"/>
    <w:rsid w:val="009742E1"/>
    <w:rsid w:val="00A46914"/>
    <w:rsid w:val="00A81EF2"/>
    <w:rsid w:val="00AD08A1"/>
    <w:rsid w:val="00E91B38"/>
    <w:rsid w:val="00EE0BA7"/>
    <w:rsid w:val="00F06E8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9C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2289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22894"/>
    <w:rPr>
      <w:sz w:val="20"/>
      <w:szCs w:val="20"/>
    </w:rPr>
  </w:style>
  <w:style w:type="character" w:styleId="Appelnotedebasdep">
    <w:name w:val="footnote reference"/>
    <w:basedOn w:val="Policepardfaut"/>
    <w:uiPriority w:val="99"/>
    <w:semiHidden/>
    <w:unhideWhenUsed/>
    <w:rsid w:val="00522894"/>
    <w:rPr>
      <w:vertAlign w:val="superscript"/>
    </w:rPr>
  </w:style>
  <w:style w:type="paragraph" w:styleId="En-tte">
    <w:name w:val="header"/>
    <w:basedOn w:val="Normal"/>
    <w:link w:val="En-tteCar"/>
    <w:uiPriority w:val="99"/>
    <w:semiHidden/>
    <w:unhideWhenUsed/>
    <w:rsid w:val="00522894"/>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522894"/>
  </w:style>
  <w:style w:type="paragraph" w:styleId="Pieddepage">
    <w:name w:val="footer"/>
    <w:basedOn w:val="Normal"/>
    <w:link w:val="PieddepageCar"/>
    <w:uiPriority w:val="99"/>
    <w:unhideWhenUsed/>
    <w:rsid w:val="0052289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228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D949C-0D36-424A-B74C-F9DF55657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729</Words>
  <Characters>4010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SIAT</dc:creator>
  <cp:lastModifiedBy>UTILISAT</cp:lastModifiedBy>
  <cp:revision>11</cp:revision>
  <dcterms:created xsi:type="dcterms:W3CDTF">2024-12-18T12:15:00Z</dcterms:created>
  <dcterms:modified xsi:type="dcterms:W3CDTF">2025-12-13T16:34:00Z</dcterms:modified>
</cp:coreProperties>
</file>