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72" w:rsidRPr="00224BC5" w:rsidRDefault="00224BC5" w:rsidP="00224BC5">
      <w:pPr>
        <w:rPr>
          <w:b/>
          <w:sz w:val="36"/>
          <w:szCs w:val="36"/>
        </w:rPr>
      </w:pPr>
      <w:r>
        <w:t xml:space="preserve">                                        </w:t>
      </w:r>
      <w:r w:rsidRPr="00224BC5">
        <w:rPr>
          <w:b/>
          <w:sz w:val="36"/>
          <w:szCs w:val="36"/>
        </w:rPr>
        <w:t>Psychologie de la prescription</w:t>
      </w:r>
    </w:p>
    <w:p w:rsidR="00E73C28" w:rsidRDefault="00E73C28" w:rsidP="00882BDB">
      <w:pPr>
        <w:pStyle w:val="Paragraphedeliste"/>
        <w:ind w:left="360"/>
      </w:pPr>
    </w:p>
    <w:p w:rsidR="00224BC5" w:rsidRPr="00224BC5" w:rsidRDefault="00224BC5" w:rsidP="00882BDB">
      <w:pPr>
        <w:pStyle w:val="Paragraphedeliste"/>
        <w:ind w:left="360"/>
        <w:rPr>
          <w:b/>
          <w:sz w:val="28"/>
          <w:szCs w:val="28"/>
        </w:rPr>
      </w:pPr>
      <w:r w:rsidRPr="00224BC5">
        <w:rPr>
          <w:b/>
          <w:sz w:val="28"/>
          <w:szCs w:val="28"/>
        </w:rPr>
        <w:t>INTRODUCTION :</w:t>
      </w:r>
    </w:p>
    <w:p w:rsidR="007B0B72" w:rsidRPr="00E73C28" w:rsidRDefault="00882BDB" w:rsidP="00882BDB">
      <w:pPr>
        <w:pStyle w:val="Paragraphedeliste"/>
        <w:ind w:left="360"/>
        <w:rPr>
          <w:sz w:val="28"/>
          <w:szCs w:val="28"/>
        </w:rPr>
      </w:pPr>
      <w:r w:rsidRPr="00E73C28">
        <w:rPr>
          <w:sz w:val="28"/>
          <w:szCs w:val="28"/>
        </w:rPr>
        <w:t>Les démarches médicales s’articulent le plus souvent autour de la prescription médicamenteuse, principe thérapeutique dont le but, dans le meilleur des cas, serait la restitution de la-dite bonne santé.</w:t>
      </w:r>
    </w:p>
    <w:p w:rsidR="00224BC5" w:rsidRDefault="00224BC5" w:rsidP="00882BDB">
      <w:pPr>
        <w:pStyle w:val="Paragraphedeliste"/>
        <w:ind w:left="360"/>
      </w:pPr>
    </w:p>
    <w:p w:rsidR="007B0B72" w:rsidRPr="00E73C28" w:rsidRDefault="00882BDB" w:rsidP="00882BDB">
      <w:pPr>
        <w:pStyle w:val="Paragraphedeliste"/>
        <w:ind w:left="360"/>
        <w:rPr>
          <w:sz w:val="28"/>
          <w:szCs w:val="28"/>
        </w:rPr>
      </w:pPr>
      <w:r>
        <w:t xml:space="preserve"> </w:t>
      </w:r>
      <w:r w:rsidRPr="00E73C28">
        <w:rPr>
          <w:sz w:val="28"/>
          <w:szCs w:val="28"/>
        </w:rPr>
        <w:t xml:space="preserve">A la question du patient qui souffre, l’ordonnance est une réponse ; réponse qui soulève à son tour des questions et nous incite à réfléchir quant à sa fonction et sa valeur, particulièrement chez l’enfant et l’adolescent. </w:t>
      </w:r>
    </w:p>
    <w:p w:rsidR="00224BC5" w:rsidRDefault="00224BC5" w:rsidP="00882BDB">
      <w:pPr>
        <w:pStyle w:val="Paragraphedeliste"/>
        <w:ind w:left="360"/>
        <w:rPr>
          <w:sz w:val="28"/>
          <w:szCs w:val="28"/>
        </w:rPr>
      </w:pPr>
    </w:p>
    <w:p w:rsidR="00224BC5" w:rsidRDefault="00F96245" w:rsidP="00882BDB">
      <w:pPr>
        <w:pStyle w:val="Paragraphedeliste"/>
        <w:ind w:left="360"/>
        <w:rPr>
          <w:sz w:val="28"/>
          <w:szCs w:val="28"/>
        </w:rPr>
      </w:pPr>
      <w:r w:rsidRPr="009B446E">
        <w:rPr>
          <w:sz w:val="28"/>
          <w:szCs w:val="28"/>
        </w:rPr>
        <w:t>A la fin de la consultation ou de la visite, le médecin va, dans le cas le plus fréquent, formuler ses prescriptions (conseils, explorations, traitement) par une ordonnance qui engage sa responsabilit</w:t>
      </w:r>
      <w:r w:rsidR="00224BC5">
        <w:rPr>
          <w:sz w:val="28"/>
          <w:szCs w:val="28"/>
        </w:rPr>
        <w:t>é, aussi sa délivrance doit</w:t>
      </w:r>
      <w:r w:rsidRPr="009B446E">
        <w:rPr>
          <w:sz w:val="28"/>
          <w:szCs w:val="28"/>
        </w:rPr>
        <w:t xml:space="preserve"> être accompagnée par des explications claires et précises, nécessaires au patient et à son entourage, pour une bonne observance du traitement. </w:t>
      </w:r>
    </w:p>
    <w:p w:rsidR="00E73C28" w:rsidRPr="009B446E" w:rsidRDefault="00F96245" w:rsidP="00882BDB">
      <w:pPr>
        <w:pStyle w:val="Paragraphedeliste"/>
        <w:ind w:left="360"/>
        <w:rPr>
          <w:sz w:val="28"/>
          <w:szCs w:val="28"/>
        </w:rPr>
      </w:pPr>
      <w:r w:rsidRPr="009B446E">
        <w:rPr>
          <w:sz w:val="28"/>
          <w:szCs w:val="28"/>
        </w:rPr>
        <w:t>Le terme ordonnance signifie une prescription qui est un acte médical, réalisé par un professionnel de santé, consistan</w:t>
      </w:r>
      <w:r w:rsidR="00224BC5">
        <w:rPr>
          <w:sz w:val="28"/>
          <w:szCs w:val="28"/>
        </w:rPr>
        <w:t xml:space="preserve">t à prescrire </w:t>
      </w:r>
      <w:r w:rsidRPr="009B446E">
        <w:rPr>
          <w:sz w:val="28"/>
          <w:szCs w:val="28"/>
        </w:rPr>
        <w:t xml:space="preserve"> des médicaments, mais aussi des examens radiologiques ou biologique, des traitements physiques, des cures thermales ou des règles hygiéno-diététiques.</w:t>
      </w:r>
    </w:p>
    <w:p w:rsidR="00E73C28" w:rsidRPr="00E73C28" w:rsidRDefault="00E73C28" w:rsidP="00882BDB">
      <w:pPr>
        <w:pStyle w:val="Paragraphedeliste"/>
        <w:ind w:left="360"/>
        <w:rPr>
          <w:sz w:val="28"/>
          <w:szCs w:val="28"/>
        </w:rPr>
      </w:pPr>
    </w:p>
    <w:p w:rsidR="00E73C28" w:rsidRPr="00E73C28" w:rsidRDefault="00882BDB" w:rsidP="00882BDB">
      <w:pPr>
        <w:pStyle w:val="Paragraphedeliste"/>
        <w:ind w:left="360"/>
        <w:rPr>
          <w:b/>
          <w:sz w:val="28"/>
          <w:szCs w:val="28"/>
        </w:rPr>
      </w:pPr>
      <w:r w:rsidRPr="00E73C28">
        <w:rPr>
          <w:sz w:val="28"/>
          <w:szCs w:val="28"/>
        </w:rPr>
        <w:t xml:space="preserve"> </w:t>
      </w:r>
      <w:r w:rsidRPr="00E73C28">
        <w:rPr>
          <w:b/>
          <w:sz w:val="28"/>
          <w:szCs w:val="28"/>
        </w:rPr>
        <w:t>PRESCRIPTION ET SUBJECTIVITE D</w:t>
      </w:r>
      <w:r w:rsidR="00E73C28" w:rsidRPr="00E73C28">
        <w:rPr>
          <w:b/>
          <w:sz w:val="28"/>
          <w:szCs w:val="28"/>
        </w:rPr>
        <w:t>U MEDECIN :</w:t>
      </w:r>
    </w:p>
    <w:p w:rsidR="00E73C28" w:rsidRDefault="00882BDB" w:rsidP="00882BDB">
      <w:pPr>
        <w:pStyle w:val="Paragraphedeliste"/>
        <w:ind w:left="360"/>
        <w:rPr>
          <w:sz w:val="28"/>
          <w:szCs w:val="28"/>
        </w:rPr>
      </w:pPr>
      <w:r w:rsidRPr="00E73C28">
        <w:rPr>
          <w:sz w:val="28"/>
          <w:szCs w:val="28"/>
        </w:rPr>
        <w:t xml:space="preserve">Le prescripteur est celui qui fait lien entre un diagnostic de départ et une substance proposée (ceci est d’autant plus important qu’il s’agit d’une pathologie chronique). </w:t>
      </w:r>
    </w:p>
    <w:p w:rsidR="00882BDB" w:rsidRPr="00E73C28" w:rsidRDefault="00882BDB" w:rsidP="00882BDB">
      <w:pPr>
        <w:pStyle w:val="Paragraphedeliste"/>
        <w:ind w:left="360"/>
        <w:rPr>
          <w:sz w:val="28"/>
          <w:szCs w:val="28"/>
        </w:rPr>
      </w:pPr>
      <w:r w:rsidRPr="00E73C28">
        <w:rPr>
          <w:sz w:val="28"/>
          <w:szCs w:val="28"/>
        </w:rPr>
        <w:t>Le fait de prescrire, de rédiger et signer l’ordonnance, quel que soit son contenu, renvoie à la maladie, l’authentifie en quelque sorte, l’assermente, la confirme. Implicitement, elle positionne le patient sur un "être</w:t>
      </w:r>
      <w:r>
        <w:t xml:space="preserve"> </w:t>
      </w:r>
      <w:r w:rsidRPr="00E73C28">
        <w:rPr>
          <w:sz w:val="28"/>
          <w:szCs w:val="28"/>
        </w:rPr>
        <w:t>malade".</w:t>
      </w:r>
    </w:p>
    <w:p w:rsidR="00F96245" w:rsidRDefault="00F96245" w:rsidP="00882BDB">
      <w:pPr>
        <w:pStyle w:val="Paragraphedeliste"/>
        <w:ind w:left="360"/>
        <w:rPr>
          <w:sz w:val="28"/>
          <w:szCs w:val="28"/>
        </w:rPr>
      </w:pPr>
    </w:p>
    <w:p w:rsidR="00F96245" w:rsidRDefault="00621B07" w:rsidP="00882BDB">
      <w:pPr>
        <w:pStyle w:val="Paragraphedeliste"/>
        <w:ind w:left="360"/>
        <w:rPr>
          <w:sz w:val="28"/>
          <w:szCs w:val="28"/>
        </w:rPr>
      </w:pPr>
      <w:r w:rsidRPr="00E73C28">
        <w:rPr>
          <w:sz w:val="28"/>
          <w:szCs w:val="28"/>
        </w:rPr>
        <w:t>De même, le choix d’une prescription introduit toute une série d’éléments subjectifs dont le prescripteur est le vecteur.</w:t>
      </w:r>
    </w:p>
    <w:p w:rsidR="00224BC5" w:rsidRDefault="00621B07" w:rsidP="00F96245">
      <w:pPr>
        <w:pStyle w:val="Paragraphedeliste"/>
        <w:ind w:left="360"/>
        <w:rPr>
          <w:sz w:val="28"/>
          <w:szCs w:val="28"/>
        </w:rPr>
      </w:pPr>
      <w:r w:rsidRPr="00E73C28">
        <w:rPr>
          <w:sz w:val="28"/>
          <w:szCs w:val="28"/>
        </w:rPr>
        <w:t xml:space="preserve"> Une prescription est donc toujours ramenée à son prescripteur et à la question sous jacente de son désir</w:t>
      </w:r>
      <w:r w:rsidR="00F96245">
        <w:rPr>
          <w:sz w:val="28"/>
          <w:szCs w:val="28"/>
        </w:rPr>
        <w:t xml:space="preserve"> </w:t>
      </w:r>
      <w:r w:rsidRPr="00F96245">
        <w:rPr>
          <w:sz w:val="28"/>
          <w:szCs w:val="28"/>
        </w:rPr>
        <w:t>Qu’est que</w:t>
      </w:r>
      <w:r w:rsidR="00224BC5">
        <w:rPr>
          <w:sz w:val="28"/>
          <w:szCs w:val="28"/>
        </w:rPr>
        <w:t xml:space="preserve"> veut ce prescripteur ?</w:t>
      </w:r>
    </w:p>
    <w:p w:rsidR="00E73C28" w:rsidRPr="00F96245" w:rsidRDefault="00621B07" w:rsidP="00F96245">
      <w:pPr>
        <w:pStyle w:val="Paragraphedeliste"/>
        <w:ind w:left="360"/>
        <w:rPr>
          <w:sz w:val="28"/>
          <w:szCs w:val="28"/>
        </w:rPr>
      </w:pPr>
      <w:r w:rsidRPr="00F96245">
        <w:rPr>
          <w:sz w:val="28"/>
          <w:szCs w:val="28"/>
        </w:rPr>
        <w:lastRenderedPageBreak/>
        <w:t>A un degré de plus, nous pensons que ce qui importe, c’est ce que le patient, quel que soit son âge, va projeter sur ce prescripteur, en fonction de sa problématique. Ce qui pourrait se résumer par :</w:t>
      </w:r>
      <w:r w:rsidR="00874977">
        <w:rPr>
          <w:sz w:val="28"/>
          <w:szCs w:val="28"/>
        </w:rPr>
        <w:t xml:space="preserve"> "qu’est ce qu’il me veut ?"</w:t>
      </w:r>
    </w:p>
    <w:p w:rsidR="00224BC5" w:rsidRDefault="00224BC5" w:rsidP="00882BDB">
      <w:pPr>
        <w:pStyle w:val="Paragraphedeliste"/>
        <w:ind w:left="360"/>
        <w:rPr>
          <w:sz w:val="28"/>
          <w:szCs w:val="28"/>
        </w:rPr>
      </w:pPr>
    </w:p>
    <w:p w:rsidR="00882BDB" w:rsidRPr="00E73C28" w:rsidRDefault="00621B07" w:rsidP="00882BDB">
      <w:pPr>
        <w:pStyle w:val="Paragraphedeliste"/>
        <w:ind w:left="360"/>
        <w:rPr>
          <w:sz w:val="28"/>
          <w:szCs w:val="28"/>
        </w:rPr>
      </w:pPr>
      <w:r w:rsidRPr="00E73C28">
        <w:rPr>
          <w:sz w:val="28"/>
          <w:szCs w:val="28"/>
        </w:rPr>
        <w:t xml:space="preserve"> Ceci est d’autant plus important qu’il s’agit d’un adolescent dont le corps se transforme et inquiète, dont le corps trahit, dans le contexte de pulsions réactivées,  La prescription vient exacerber des questions telles que: "Suis-je normal ?", "Suis-je comme les autres ?"</w:t>
      </w:r>
    </w:p>
    <w:p w:rsidR="00621B07" w:rsidRPr="00E73C28" w:rsidRDefault="00621B07" w:rsidP="00882BDB">
      <w:pPr>
        <w:pStyle w:val="Paragraphedeliste"/>
        <w:ind w:left="360"/>
        <w:rPr>
          <w:sz w:val="28"/>
          <w:szCs w:val="28"/>
        </w:rPr>
      </w:pPr>
      <w:r w:rsidRPr="00E73C28">
        <w:rPr>
          <w:sz w:val="28"/>
          <w:szCs w:val="28"/>
        </w:rPr>
        <w:t>Chez l’enfant et parfois l’adolescent, la place des parents dans une presc</w:t>
      </w:r>
      <w:r w:rsidR="001E6D98">
        <w:rPr>
          <w:sz w:val="28"/>
          <w:szCs w:val="28"/>
        </w:rPr>
        <w:t>ription est bien sûr</w:t>
      </w:r>
      <w:r w:rsidRPr="00E73C28">
        <w:rPr>
          <w:sz w:val="28"/>
          <w:szCs w:val="28"/>
        </w:rPr>
        <w:t>, très importante. Qui demande quoi ? Qu’est ce que chacun, du médecin, de l’enfant et de ses parents, attend de l’autre ? Si la question paraît plutôt vite résolue lors d’une otite ou d’une rhinopharyngite, le problème semble beaucoup plus complexe devant une instabilité psychomotrice ou un trouble du sommeil…</w:t>
      </w:r>
    </w:p>
    <w:p w:rsidR="007B0B72" w:rsidRPr="001E6D98" w:rsidRDefault="007B0B72" w:rsidP="00882BDB">
      <w:pPr>
        <w:pStyle w:val="Paragraphedeliste"/>
        <w:ind w:left="360"/>
        <w:rPr>
          <w:b/>
        </w:rPr>
      </w:pPr>
    </w:p>
    <w:p w:rsidR="00882BDB" w:rsidRPr="001E6D98" w:rsidRDefault="001E6D98" w:rsidP="00882BDB">
      <w:pPr>
        <w:pStyle w:val="Paragraphedeliste"/>
        <w:ind w:left="360"/>
        <w:rPr>
          <w:b/>
          <w:sz w:val="28"/>
          <w:szCs w:val="28"/>
        </w:rPr>
      </w:pPr>
      <w:r w:rsidRPr="001E6D98">
        <w:rPr>
          <w:b/>
          <w:sz w:val="28"/>
          <w:szCs w:val="28"/>
        </w:rPr>
        <w:t>OBSERVANCE THERAPEUTIQUE</w:t>
      </w:r>
      <w:r w:rsidR="007B0B72" w:rsidRPr="001E6D98">
        <w:rPr>
          <w:b/>
          <w:sz w:val="28"/>
          <w:szCs w:val="28"/>
        </w:rPr>
        <w:t> :</w:t>
      </w:r>
    </w:p>
    <w:p w:rsidR="007B0B72" w:rsidRPr="001E6D98" w:rsidRDefault="007B0B72" w:rsidP="00882BDB">
      <w:pPr>
        <w:pStyle w:val="Paragraphedeliste"/>
        <w:ind w:left="360"/>
        <w:rPr>
          <w:sz w:val="28"/>
          <w:szCs w:val="28"/>
        </w:rPr>
      </w:pPr>
      <w:r w:rsidRPr="001E6D98">
        <w:rPr>
          <w:sz w:val="28"/>
          <w:szCs w:val="28"/>
        </w:rPr>
        <w:t>Le médicament n’est jamais accepté de façon durable ; il soulage un temps à l’image d’une béquille mais le patient semble mal supporter une quelconque modification de son rapport à sa souffrance… Ce n’est pas nouveau !</w:t>
      </w:r>
    </w:p>
    <w:p w:rsidR="001E6D98" w:rsidRPr="00174CA2" w:rsidRDefault="001E6D98" w:rsidP="001E6D98">
      <w:pPr>
        <w:rPr>
          <w:rFonts w:cstheme="minorHAnsi"/>
          <w:sz w:val="28"/>
          <w:szCs w:val="28"/>
          <w:u w:val="single"/>
        </w:rPr>
      </w:pPr>
      <w:r w:rsidRPr="00174CA2">
        <w:rPr>
          <w:rFonts w:cstheme="minorHAnsi"/>
          <w:sz w:val="28"/>
          <w:szCs w:val="28"/>
          <w:u w:val="single"/>
        </w:rPr>
        <w:t xml:space="preserve">Définition : </w:t>
      </w:r>
    </w:p>
    <w:p w:rsidR="001E6D98" w:rsidRPr="00174CA2" w:rsidRDefault="001D4FE3" w:rsidP="001E6D98">
      <w:pPr>
        <w:rPr>
          <w:rFonts w:cstheme="minorHAnsi"/>
          <w:sz w:val="28"/>
          <w:szCs w:val="28"/>
        </w:rPr>
      </w:pPr>
      <w:r w:rsidRPr="00174CA2">
        <w:rPr>
          <w:rFonts w:cstheme="minorHAnsi"/>
          <w:sz w:val="28"/>
          <w:szCs w:val="28"/>
        </w:rPr>
        <w:t xml:space="preserve"> L’observance thérapeutique se définit comme l’adéquation entre le comportement du patient et les recommandations du professionnel de santé. Elle est un enjeu majeur de santé publique. Selon l’OMS, une personne sur deux, indépendamment de son pays d’origine, ne prend pas son trai</w:t>
      </w:r>
      <w:r w:rsidR="001E6D98" w:rsidRPr="00174CA2">
        <w:rPr>
          <w:rFonts w:cstheme="minorHAnsi"/>
          <w:sz w:val="28"/>
          <w:szCs w:val="28"/>
        </w:rPr>
        <w:t xml:space="preserve">tement comme elle le </w:t>
      </w:r>
      <w:r w:rsidR="00174CA2" w:rsidRPr="00174CA2">
        <w:rPr>
          <w:rFonts w:cstheme="minorHAnsi"/>
          <w:sz w:val="28"/>
          <w:szCs w:val="28"/>
        </w:rPr>
        <w:t xml:space="preserve">devrait. </w:t>
      </w:r>
    </w:p>
    <w:p w:rsidR="001E6D98" w:rsidRPr="00174CA2" w:rsidRDefault="001D4FE3" w:rsidP="001E6D98">
      <w:pPr>
        <w:rPr>
          <w:rFonts w:cstheme="minorHAnsi"/>
          <w:sz w:val="28"/>
          <w:szCs w:val="28"/>
        </w:rPr>
      </w:pPr>
      <w:r w:rsidRPr="00174CA2">
        <w:rPr>
          <w:rFonts w:cstheme="minorHAnsi"/>
          <w:sz w:val="28"/>
          <w:szCs w:val="28"/>
        </w:rPr>
        <w:t>Il existe plusieurs expressions pour ide</w:t>
      </w:r>
      <w:r w:rsidR="001E6D98" w:rsidRPr="00174CA2">
        <w:rPr>
          <w:rFonts w:cstheme="minorHAnsi"/>
          <w:sz w:val="28"/>
          <w:szCs w:val="28"/>
        </w:rPr>
        <w:t>ntifier l’observanc</w:t>
      </w:r>
      <w:r w:rsidR="00174CA2">
        <w:rPr>
          <w:rFonts w:cstheme="minorHAnsi"/>
          <w:sz w:val="28"/>
          <w:szCs w:val="28"/>
        </w:rPr>
        <w:t>e :</w:t>
      </w:r>
      <w:r w:rsidRPr="00174CA2">
        <w:rPr>
          <w:rFonts w:cstheme="minorHAnsi"/>
          <w:sz w:val="28"/>
          <w:szCs w:val="28"/>
        </w:rPr>
        <w:t xml:space="preserve"> </w:t>
      </w:r>
    </w:p>
    <w:p w:rsidR="001E6D98" w:rsidRPr="00174CA2" w:rsidRDefault="001D4FE3" w:rsidP="001E6D98">
      <w:pPr>
        <w:rPr>
          <w:rFonts w:cstheme="minorHAnsi"/>
          <w:sz w:val="28"/>
          <w:szCs w:val="28"/>
        </w:rPr>
      </w:pPr>
      <w:r w:rsidRPr="00174CA2">
        <w:rPr>
          <w:rFonts w:eastAsia="MS Gothic" w:hAnsi="MS Gothic" w:cstheme="minorHAnsi"/>
          <w:sz w:val="28"/>
          <w:szCs w:val="28"/>
        </w:rPr>
        <w:t>➢</w:t>
      </w:r>
      <w:r w:rsidRPr="00174CA2">
        <w:rPr>
          <w:rFonts w:cstheme="minorHAnsi"/>
          <w:sz w:val="28"/>
          <w:szCs w:val="28"/>
        </w:rPr>
        <w:t xml:space="preserve"> Dans le monde anglo-saxon, on préfère le mot « </w:t>
      </w:r>
      <w:r w:rsidR="00174CA2" w:rsidRPr="00174CA2">
        <w:rPr>
          <w:rFonts w:cstheme="minorHAnsi"/>
          <w:sz w:val="28"/>
          <w:szCs w:val="28"/>
        </w:rPr>
        <w:t>adhérence</w:t>
      </w:r>
      <w:r w:rsidRPr="00174CA2">
        <w:rPr>
          <w:rFonts w:cstheme="minorHAnsi"/>
          <w:sz w:val="28"/>
          <w:szCs w:val="28"/>
        </w:rPr>
        <w:t xml:space="preserve"> » qui peut être traduit par deux appellations. Le terme d’adhérence qui permet de décrire un état correspondant au degré avec le lequel le comportement du patient coïncide avec les recommandations du médecin. L’adhésion quant à elle identifie un processus actif qui vise à induire une augmentation de l’adhérence. </w:t>
      </w:r>
    </w:p>
    <w:p w:rsidR="001E6D98" w:rsidRPr="00174CA2" w:rsidRDefault="001D4FE3" w:rsidP="001E6D98">
      <w:pPr>
        <w:rPr>
          <w:sz w:val="28"/>
          <w:szCs w:val="28"/>
        </w:rPr>
      </w:pPr>
      <w:r w:rsidRPr="00174CA2">
        <w:rPr>
          <w:rFonts w:eastAsia="MS Gothic" w:hAnsi="MS Gothic" w:cstheme="minorHAnsi"/>
          <w:sz w:val="28"/>
          <w:szCs w:val="28"/>
        </w:rPr>
        <w:lastRenderedPageBreak/>
        <w:t>➢</w:t>
      </w:r>
      <w:r w:rsidRPr="00174CA2">
        <w:rPr>
          <w:rFonts w:cstheme="minorHAnsi"/>
          <w:sz w:val="28"/>
          <w:szCs w:val="28"/>
        </w:rPr>
        <w:t xml:space="preserve"> La compliance est un mot américain qui désigne la rigueur avec laquelle le patient suit les prescriptions du médecin. Il est en conséquence assez proche du concept d’adhésion. Dans cette vision, le comportement est défini par une contrainte, par exemple l’ordonnance du médecin peut être vue comme une injonction de ce dernier auquel le patient n’a d’autres choix que s’y conformer.</w:t>
      </w:r>
      <w:r w:rsidRPr="00174CA2">
        <w:rPr>
          <w:sz w:val="28"/>
          <w:szCs w:val="28"/>
        </w:rPr>
        <w:t xml:space="preserve"> </w:t>
      </w:r>
      <w:r w:rsidRPr="00174CA2">
        <w:rPr>
          <w:rFonts w:ascii="MS Gothic" w:eastAsia="MS Gothic" w:hAnsi="MS Gothic" w:cs="MS Gothic" w:hint="eastAsia"/>
          <w:sz w:val="28"/>
          <w:szCs w:val="28"/>
        </w:rPr>
        <w:t>➢</w:t>
      </w:r>
      <w:r w:rsidRPr="00174CA2">
        <w:rPr>
          <w:sz w:val="28"/>
          <w:szCs w:val="28"/>
        </w:rPr>
        <w:t xml:space="preserve"> L’alliance thérapeutique est le lien qui se crée entre le patient et le professionnel de santé dans un esprit de collaboration où la confiance, l’acceptation e</w:t>
      </w:r>
      <w:r w:rsidR="001E6D98" w:rsidRPr="00174CA2">
        <w:rPr>
          <w:sz w:val="28"/>
          <w:szCs w:val="28"/>
        </w:rPr>
        <w:t>t l’implication sont de mise</w:t>
      </w:r>
      <w:r w:rsidRPr="00174CA2">
        <w:rPr>
          <w:sz w:val="28"/>
          <w:szCs w:val="28"/>
        </w:rPr>
        <w:t xml:space="preserve">. </w:t>
      </w:r>
    </w:p>
    <w:p w:rsidR="001D4FE3" w:rsidRPr="00174CA2" w:rsidRDefault="001D4FE3" w:rsidP="001E6D98">
      <w:pPr>
        <w:rPr>
          <w:sz w:val="28"/>
          <w:szCs w:val="28"/>
        </w:rPr>
      </w:pPr>
      <w:r w:rsidRPr="00174CA2">
        <w:rPr>
          <w:sz w:val="28"/>
          <w:szCs w:val="28"/>
        </w:rPr>
        <w:t>L</w:t>
      </w:r>
      <w:r w:rsidR="001E6D98" w:rsidRPr="00174CA2">
        <w:rPr>
          <w:sz w:val="28"/>
          <w:szCs w:val="28"/>
        </w:rPr>
        <w:t xml:space="preserve">e Dictionnaire Larousse </w:t>
      </w:r>
      <w:r w:rsidRPr="00174CA2">
        <w:rPr>
          <w:sz w:val="28"/>
          <w:szCs w:val="28"/>
        </w:rPr>
        <w:t xml:space="preserve"> propose la défin</w:t>
      </w:r>
      <w:r w:rsidR="001E6D98" w:rsidRPr="00174CA2">
        <w:rPr>
          <w:sz w:val="28"/>
          <w:szCs w:val="28"/>
        </w:rPr>
        <w:t>ition suivante pour l’observan</w:t>
      </w:r>
      <w:r w:rsidRPr="00174CA2">
        <w:rPr>
          <w:sz w:val="28"/>
          <w:szCs w:val="28"/>
        </w:rPr>
        <w:t>ce</w:t>
      </w:r>
      <w:r w:rsidR="001E6D98" w:rsidRPr="00174CA2">
        <w:rPr>
          <w:sz w:val="28"/>
          <w:szCs w:val="28"/>
        </w:rPr>
        <w:t xml:space="preserve">  « </w:t>
      </w:r>
      <w:r w:rsidRPr="00174CA2">
        <w:rPr>
          <w:sz w:val="28"/>
          <w:szCs w:val="28"/>
        </w:rPr>
        <w:t xml:space="preserve"> Façon dont un patient suit, ou ne suit pas les prescriptions médicales et coopère à son traitement »</w:t>
      </w:r>
    </w:p>
    <w:p w:rsidR="001D4FE3" w:rsidRPr="00174CA2" w:rsidRDefault="001D4FE3" w:rsidP="001E6D98">
      <w:pPr>
        <w:rPr>
          <w:sz w:val="28"/>
          <w:szCs w:val="28"/>
        </w:rPr>
      </w:pPr>
      <w:r w:rsidRPr="00174CA2">
        <w:rPr>
          <w:sz w:val="28"/>
          <w:szCs w:val="28"/>
        </w:rPr>
        <w:t>L’observance peut donc se définir comme la participation active du patient dans son traitement. Cette implication doit être rigoureuse au regard d’une proposition thérapeutique éclairée. Une bonne observance est le gage d’une</w:t>
      </w:r>
      <w:r w:rsidR="001E6D98" w:rsidRPr="00174CA2">
        <w:rPr>
          <w:sz w:val="28"/>
          <w:szCs w:val="28"/>
        </w:rPr>
        <w:t xml:space="preserve"> bonne qualité de traitement.</w:t>
      </w:r>
    </w:p>
    <w:p w:rsidR="001E6D98" w:rsidRPr="00174CA2" w:rsidRDefault="001D4FE3" w:rsidP="001E6D98">
      <w:pPr>
        <w:rPr>
          <w:sz w:val="28"/>
          <w:szCs w:val="28"/>
        </w:rPr>
      </w:pPr>
      <w:r w:rsidRPr="00174CA2">
        <w:rPr>
          <w:sz w:val="28"/>
          <w:szCs w:val="28"/>
        </w:rPr>
        <w:t xml:space="preserve"> </w:t>
      </w:r>
      <w:r w:rsidRPr="00174CA2">
        <w:rPr>
          <w:sz w:val="28"/>
          <w:szCs w:val="28"/>
          <w:u w:val="single"/>
        </w:rPr>
        <w:t>Les champs d’application de l’observance thérapeutique</w:t>
      </w:r>
      <w:r w:rsidRPr="00174CA2">
        <w:rPr>
          <w:sz w:val="28"/>
          <w:szCs w:val="28"/>
        </w:rPr>
        <w:t xml:space="preserve"> </w:t>
      </w:r>
    </w:p>
    <w:p w:rsidR="00174CA2" w:rsidRDefault="001D4FE3" w:rsidP="001E6D98">
      <w:pPr>
        <w:rPr>
          <w:sz w:val="28"/>
          <w:szCs w:val="28"/>
        </w:rPr>
      </w:pPr>
      <w:r w:rsidRPr="00174CA2">
        <w:rPr>
          <w:sz w:val="28"/>
          <w:szCs w:val="28"/>
        </w:rPr>
        <w:t xml:space="preserve">L’observance thérapeutique est multidimensionnelle. Elle comprend le respect du traitement, les mesures </w:t>
      </w:r>
      <w:r w:rsidR="001E6D98" w:rsidRPr="00174CA2">
        <w:rPr>
          <w:sz w:val="28"/>
          <w:szCs w:val="28"/>
        </w:rPr>
        <w:t>hygiéno-diététiques</w:t>
      </w:r>
      <w:r w:rsidRPr="00174CA2">
        <w:rPr>
          <w:sz w:val="28"/>
          <w:szCs w:val="28"/>
        </w:rPr>
        <w:t xml:space="preserve">, le respect du suivi médical, l’éviction des comportements à risques…. </w:t>
      </w:r>
    </w:p>
    <w:p w:rsidR="001E6D98" w:rsidRPr="00174CA2" w:rsidRDefault="001D4FE3" w:rsidP="001E6D98">
      <w:pPr>
        <w:rPr>
          <w:sz w:val="28"/>
          <w:szCs w:val="28"/>
        </w:rPr>
      </w:pPr>
      <w:r w:rsidRPr="00174CA2">
        <w:rPr>
          <w:sz w:val="28"/>
          <w:szCs w:val="28"/>
        </w:rPr>
        <w:t xml:space="preserve">Les mesures </w:t>
      </w:r>
      <w:r w:rsidR="001E6D98" w:rsidRPr="00174CA2">
        <w:rPr>
          <w:sz w:val="28"/>
          <w:szCs w:val="28"/>
        </w:rPr>
        <w:t>hygiéno-diététiques</w:t>
      </w:r>
      <w:r w:rsidRPr="00174CA2">
        <w:rPr>
          <w:sz w:val="28"/>
          <w:szCs w:val="28"/>
        </w:rPr>
        <w:t xml:space="preserve"> peuvent suffire, du moins dans les premiers temps à contrôler le diabète. C’est pour cela que leur mise en place est en première ligne de prise en charge selon les </w:t>
      </w:r>
      <w:r w:rsidR="001E6D98" w:rsidRPr="00174CA2">
        <w:rPr>
          <w:sz w:val="28"/>
          <w:szCs w:val="28"/>
        </w:rPr>
        <w:t xml:space="preserve">recommandations. </w:t>
      </w:r>
    </w:p>
    <w:p w:rsidR="001E6D98" w:rsidRPr="00174CA2" w:rsidRDefault="001D4FE3" w:rsidP="001E6D98">
      <w:pPr>
        <w:rPr>
          <w:sz w:val="28"/>
          <w:szCs w:val="28"/>
        </w:rPr>
      </w:pPr>
      <w:r w:rsidRPr="00174CA2">
        <w:rPr>
          <w:sz w:val="28"/>
          <w:szCs w:val="28"/>
        </w:rPr>
        <w:t>Toutes ces dimensions dépendent de la compréhension par le patient de sa maladie. La bonne communication entre professionnels de santé et p</w:t>
      </w:r>
      <w:r w:rsidR="001E6D98" w:rsidRPr="00174CA2">
        <w:rPr>
          <w:sz w:val="28"/>
          <w:szCs w:val="28"/>
        </w:rPr>
        <w:t>atient est donc primordiale</w:t>
      </w:r>
      <w:r w:rsidRPr="00174CA2">
        <w:rPr>
          <w:sz w:val="28"/>
          <w:szCs w:val="28"/>
        </w:rPr>
        <w:t>.</w:t>
      </w:r>
    </w:p>
    <w:p w:rsidR="001E6D98" w:rsidRPr="00174CA2" w:rsidRDefault="001D4FE3" w:rsidP="001E6D98">
      <w:pPr>
        <w:rPr>
          <w:sz w:val="28"/>
          <w:szCs w:val="28"/>
        </w:rPr>
      </w:pPr>
      <w:r w:rsidRPr="00174CA2">
        <w:rPr>
          <w:sz w:val="28"/>
          <w:szCs w:val="28"/>
          <w:u w:val="single"/>
        </w:rPr>
        <w:t>Les profils de patients</w:t>
      </w:r>
      <w:r w:rsidRPr="00174CA2">
        <w:rPr>
          <w:sz w:val="28"/>
          <w:szCs w:val="28"/>
        </w:rPr>
        <w:t xml:space="preserve"> </w:t>
      </w:r>
    </w:p>
    <w:p w:rsidR="001E6D98" w:rsidRPr="00174CA2" w:rsidRDefault="001E6D98" w:rsidP="001E6D98">
      <w:pPr>
        <w:rPr>
          <w:sz w:val="28"/>
          <w:szCs w:val="28"/>
        </w:rPr>
      </w:pPr>
      <w:r w:rsidRPr="00174CA2">
        <w:rPr>
          <w:sz w:val="28"/>
          <w:szCs w:val="28"/>
        </w:rPr>
        <w:t xml:space="preserve">Une étude anglo-saxonne </w:t>
      </w:r>
      <w:r w:rsidR="001D4FE3" w:rsidRPr="00174CA2">
        <w:rPr>
          <w:sz w:val="28"/>
          <w:szCs w:val="28"/>
        </w:rPr>
        <w:t xml:space="preserve">a identifié 7 catégories de patients : </w:t>
      </w:r>
    </w:p>
    <w:p w:rsidR="001E6D98" w:rsidRPr="00174CA2" w:rsidRDefault="001E6D98" w:rsidP="001E6D98">
      <w:pPr>
        <w:rPr>
          <w:sz w:val="28"/>
          <w:szCs w:val="28"/>
        </w:rPr>
      </w:pPr>
      <w:r w:rsidRPr="00174CA2">
        <w:rPr>
          <w:sz w:val="28"/>
          <w:szCs w:val="28"/>
        </w:rPr>
        <w:t>1. Le docile </w:t>
      </w:r>
      <w:r w:rsidR="00174CA2" w:rsidRPr="00174CA2">
        <w:rPr>
          <w:sz w:val="28"/>
          <w:szCs w:val="28"/>
        </w:rPr>
        <w:t>: est</w:t>
      </w:r>
      <w:r w:rsidR="001D4FE3" w:rsidRPr="00174CA2">
        <w:rPr>
          <w:sz w:val="28"/>
          <w:szCs w:val="28"/>
        </w:rPr>
        <w:t xml:space="preserve"> un patient qui obéit à son médecin, et fait donc preuve d’une bonne observance.</w:t>
      </w:r>
    </w:p>
    <w:p w:rsidR="001E6D98" w:rsidRPr="00174CA2" w:rsidRDefault="001D4FE3" w:rsidP="001E6D98">
      <w:pPr>
        <w:rPr>
          <w:sz w:val="28"/>
          <w:szCs w:val="28"/>
        </w:rPr>
      </w:pPr>
      <w:r w:rsidRPr="00174CA2">
        <w:rPr>
          <w:sz w:val="28"/>
          <w:szCs w:val="28"/>
        </w:rPr>
        <w:t xml:space="preserve"> 2. Le démissionnaire précoce. </w:t>
      </w:r>
    </w:p>
    <w:p w:rsidR="00EC172D" w:rsidRPr="00174CA2" w:rsidRDefault="001D4FE3" w:rsidP="001E6D98">
      <w:pPr>
        <w:rPr>
          <w:sz w:val="28"/>
          <w:szCs w:val="28"/>
        </w:rPr>
      </w:pPr>
      <w:r w:rsidRPr="00174CA2">
        <w:rPr>
          <w:sz w:val="28"/>
          <w:szCs w:val="28"/>
        </w:rPr>
        <w:lastRenderedPageBreak/>
        <w:t>3. L’intérimaire.</w:t>
      </w:r>
    </w:p>
    <w:p w:rsidR="00EC172D" w:rsidRPr="00174CA2" w:rsidRDefault="001D4FE3" w:rsidP="001E6D98">
      <w:pPr>
        <w:rPr>
          <w:sz w:val="28"/>
          <w:szCs w:val="28"/>
        </w:rPr>
      </w:pPr>
      <w:r w:rsidRPr="00174CA2">
        <w:rPr>
          <w:sz w:val="28"/>
          <w:szCs w:val="28"/>
        </w:rPr>
        <w:t xml:space="preserve"> 4. L’intermittent.</w:t>
      </w:r>
    </w:p>
    <w:p w:rsidR="00EC172D" w:rsidRPr="00174CA2" w:rsidRDefault="00EC172D" w:rsidP="001E6D98">
      <w:pPr>
        <w:rPr>
          <w:sz w:val="28"/>
          <w:szCs w:val="28"/>
        </w:rPr>
      </w:pPr>
      <w:r w:rsidRPr="00174CA2">
        <w:rPr>
          <w:sz w:val="28"/>
          <w:szCs w:val="28"/>
        </w:rPr>
        <w:t xml:space="preserve"> 5. Le joueur </w:t>
      </w:r>
      <w:r w:rsidR="00174CA2" w:rsidRPr="00174CA2">
        <w:rPr>
          <w:sz w:val="28"/>
          <w:szCs w:val="28"/>
        </w:rPr>
        <w:t>: est</w:t>
      </w:r>
      <w:r w:rsidR="001D4FE3" w:rsidRPr="00174CA2">
        <w:rPr>
          <w:sz w:val="28"/>
          <w:szCs w:val="28"/>
        </w:rPr>
        <w:t xml:space="preserve"> un patient qui est conscient des risques d’un défaut d’observance, mais qui en dépit de cela ne prend pas son traitement. Ce type de comportement peut également correspondre au fumeur qui, malgré la menace du cancer, continue tout de même à fumer. Ainsi l’observance du joueur varie en fonction de sa perception du risque associé à la maladie, mais aussi au traitement.</w:t>
      </w:r>
    </w:p>
    <w:p w:rsidR="00EC172D" w:rsidRPr="00174CA2" w:rsidRDefault="00EC172D" w:rsidP="001E6D98">
      <w:pPr>
        <w:rPr>
          <w:sz w:val="28"/>
          <w:szCs w:val="28"/>
        </w:rPr>
      </w:pPr>
      <w:r w:rsidRPr="00174CA2">
        <w:rPr>
          <w:sz w:val="28"/>
          <w:szCs w:val="28"/>
        </w:rPr>
        <w:t xml:space="preserve"> 6. Le distrait :</w:t>
      </w:r>
      <w:r w:rsidR="001D4FE3" w:rsidRPr="00174CA2">
        <w:rPr>
          <w:sz w:val="28"/>
          <w:szCs w:val="28"/>
        </w:rPr>
        <w:t xml:space="preserve"> est un patient préoccupé par d’autres choses (travail, problèmes familiaux…) et qui en conséquence finit par oublier des rendez-vous chez le médecin, de prendre ses médicaments…. </w:t>
      </w:r>
    </w:p>
    <w:p w:rsidR="001D4FE3" w:rsidRPr="00174CA2" w:rsidRDefault="00EC172D" w:rsidP="001E6D98">
      <w:pPr>
        <w:rPr>
          <w:sz w:val="28"/>
          <w:szCs w:val="28"/>
        </w:rPr>
      </w:pPr>
      <w:r w:rsidRPr="00174CA2">
        <w:rPr>
          <w:sz w:val="28"/>
          <w:szCs w:val="28"/>
        </w:rPr>
        <w:t>7. Le rebelle :</w:t>
      </w:r>
      <w:r w:rsidR="001D4FE3" w:rsidRPr="00174CA2">
        <w:rPr>
          <w:sz w:val="28"/>
          <w:szCs w:val="28"/>
        </w:rPr>
        <w:t xml:space="preserve"> est un patient qui ne suit pas les recommandations qui lui sont données, par seule volonté de s’opposer</w:t>
      </w:r>
    </w:p>
    <w:p w:rsidR="00EC172D" w:rsidRDefault="00EC172D" w:rsidP="00EC172D"/>
    <w:p w:rsidR="00EC172D" w:rsidRPr="00174CA2" w:rsidRDefault="00EC172D" w:rsidP="00EC172D">
      <w:pPr>
        <w:rPr>
          <w:sz w:val="28"/>
          <w:szCs w:val="28"/>
        </w:rPr>
      </w:pPr>
      <w:r w:rsidRPr="00174CA2">
        <w:rPr>
          <w:sz w:val="28"/>
          <w:szCs w:val="28"/>
          <w:u w:val="single"/>
        </w:rPr>
        <w:t>Facteurs</w:t>
      </w:r>
      <w:r w:rsidR="001D4FE3" w:rsidRPr="00174CA2">
        <w:rPr>
          <w:sz w:val="28"/>
          <w:szCs w:val="28"/>
          <w:u w:val="single"/>
        </w:rPr>
        <w:t xml:space="preserve"> de risque d’inobservance</w:t>
      </w:r>
      <w:r w:rsidRPr="00174CA2">
        <w:rPr>
          <w:sz w:val="28"/>
          <w:szCs w:val="28"/>
        </w:rPr>
        <w:t xml:space="preserve"> </w:t>
      </w:r>
    </w:p>
    <w:p w:rsidR="00EC172D" w:rsidRPr="00174CA2" w:rsidRDefault="001D4FE3" w:rsidP="00EC172D">
      <w:pPr>
        <w:rPr>
          <w:sz w:val="28"/>
          <w:szCs w:val="28"/>
        </w:rPr>
      </w:pPr>
      <w:r w:rsidRPr="00174CA2">
        <w:rPr>
          <w:sz w:val="28"/>
          <w:szCs w:val="28"/>
        </w:rPr>
        <w:t xml:space="preserve"> Âge </w:t>
      </w:r>
    </w:p>
    <w:p w:rsidR="00EC172D" w:rsidRPr="00174CA2" w:rsidRDefault="001D4FE3" w:rsidP="00EC172D">
      <w:pPr>
        <w:rPr>
          <w:sz w:val="28"/>
          <w:szCs w:val="28"/>
        </w:rPr>
      </w:pPr>
      <w:r w:rsidRPr="00174CA2">
        <w:rPr>
          <w:sz w:val="28"/>
          <w:szCs w:val="28"/>
        </w:rPr>
        <w:t xml:space="preserve">Contraintes socioprofessionnelles </w:t>
      </w:r>
    </w:p>
    <w:p w:rsidR="00EC172D" w:rsidRPr="00174CA2" w:rsidRDefault="001D4FE3" w:rsidP="00EC172D">
      <w:pPr>
        <w:rPr>
          <w:sz w:val="28"/>
          <w:szCs w:val="28"/>
        </w:rPr>
      </w:pPr>
      <w:r w:rsidRPr="00174CA2">
        <w:rPr>
          <w:sz w:val="28"/>
          <w:szCs w:val="28"/>
        </w:rPr>
        <w:t>Connaissances et croyances</w:t>
      </w:r>
    </w:p>
    <w:p w:rsidR="00EC172D" w:rsidRPr="00174CA2" w:rsidRDefault="001D4FE3" w:rsidP="00EC172D">
      <w:pPr>
        <w:rPr>
          <w:sz w:val="28"/>
          <w:szCs w:val="28"/>
        </w:rPr>
      </w:pPr>
      <w:r w:rsidRPr="00174CA2">
        <w:rPr>
          <w:sz w:val="28"/>
          <w:szCs w:val="28"/>
        </w:rPr>
        <w:t xml:space="preserve"> Niveau d’anxiété et statut émotionnel </w:t>
      </w:r>
    </w:p>
    <w:p w:rsidR="00EC172D" w:rsidRPr="00174CA2" w:rsidRDefault="001D4FE3" w:rsidP="00EC172D">
      <w:pPr>
        <w:rPr>
          <w:sz w:val="28"/>
          <w:szCs w:val="28"/>
        </w:rPr>
      </w:pPr>
      <w:r w:rsidRPr="00174CA2">
        <w:rPr>
          <w:sz w:val="28"/>
          <w:szCs w:val="28"/>
        </w:rPr>
        <w:t>La maladie</w:t>
      </w:r>
      <w:r w:rsidR="00EC172D" w:rsidRPr="00174CA2">
        <w:rPr>
          <w:sz w:val="28"/>
          <w:szCs w:val="28"/>
        </w:rPr>
        <w:t> : Intensité</w:t>
      </w:r>
      <w:r w:rsidRPr="00174CA2">
        <w:rPr>
          <w:sz w:val="28"/>
          <w:szCs w:val="28"/>
        </w:rPr>
        <w:t xml:space="preserve"> des symptômes</w:t>
      </w:r>
      <w:r w:rsidR="00EC172D" w:rsidRPr="00174CA2">
        <w:rPr>
          <w:sz w:val="28"/>
          <w:szCs w:val="28"/>
        </w:rPr>
        <w:t>,  g</w:t>
      </w:r>
      <w:r w:rsidRPr="00174CA2">
        <w:rPr>
          <w:sz w:val="28"/>
          <w:szCs w:val="28"/>
        </w:rPr>
        <w:t xml:space="preserve">ravité, </w:t>
      </w:r>
      <w:r w:rsidR="00174CA2" w:rsidRPr="00174CA2">
        <w:rPr>
          <w:sz w:val="28"/>
          <w:szCs w:val="28"/>
        </w:rPr>
        <w:t>pronostic,</w:t>
      </w:r>
      <w:r w:rsidR="00EC172D" w:rsidRPr="00174CA2">
        <w:rPr>
          <w:sz w:val="28"/>
          <w:szCs w:val="28"/>
        </w:rPr>
        <w:t xml:space="preserve"> d</w:t>
      </w:r>
      <w:r w:rsidRPr="00174CA2">
        <w:rPr>
          <w:sz w:val="28"/>
          <w:szCs w:val="28"/>
        </w:rPr>
        <w:t xml:space="preserve">urée (chronique, aigu…) </w:t>
      </w:r>
    </w:p>
    <w:p w:rsidR="00EC172D" w:rsidRPr="00174CA2" w:rsidRDefault="001D4FE3" w:rsidP="00EC172D">
      <w:pPr>
        <w:rPr>
          <w:sz w:val="28"/>
          <w:szCs w:val="28"/>
        </w:rPr>
      </w:pPr>
      <w:r w:rsidRPr="00174CA2">
        <w:rPr>
          <w:sz w:val="28"/>
          <w:szCs w:val="28"/>
        </w:rPr>
        <w:t xml:space="preserve">Nature (psychiatrie, cardiovasculaire…) </w:t>
      </w:r>
    </w:p>
    <w:p w:rsidR="00EC172D" w:rsidRPr="00174CA2" w:rsidRDefault="001D4FE3" w:rsidP="00EC172D">
      <w:pPr>
        <w:rPr>
          <w:sz w:val="28"/>
          <w:szCs w:val="28"/>
        </w:rPr>
      </w:pPr>
      <w:r w:rsidRPr="00174CA2">
        <w:rPr>
          <w:sz w:val="28"/>
          <w:szCs w:val="28"/>
        </w:rPr>
        <w:t>Le traitement</w:t>
      </w:r>
      <w:r w:rsidR="00EC172D" w:rsidRPr="00174CA2">
        <w:rPr>
          <w:sz w:val="28"/>
          <w:szCs w:val="28"/>
        </w:rPr>
        <w:t xml:space="preserve"> : </w:t>
      </w:r>
      <w:r w:rsidRPr="00174CA2">
        <w:rPr>
          <w:sz w:val="28"/>
          <w:szCs w:val="28"/>
        </w:rPr>
        <w:t>Efficacité, sécurité (profil iatro</w:t>
      </w:r>
      <w:r w:rsidR="00EC172D" w:rsidRPr="00174CA2">
        <w:rPr>
          <w:sz w:val="28"/>
          <w:szCs w:val="28"/>
        </w:rPr>
        <w:t xml:space="preserve">gène ou effets secondaires), </w:t>
      </w:r>
      <w:r w:rsidRPr="00174CA2">
        <w:rPr>
          <w:sz w:val="28"/>
          <w:szCs w:val="28"/>
        </w:rPr>
        <w:t>Nombre de prise journalière</w:t>
      </w:r>
      <w:r w:rsidR="00EC172D" w:rsidRPr="00174CA2">
        <w:rPr>
          <w:sz w:val="28"/>
          <w:szCs w:val="28"/>
        </w:rPr>
        <w:t xml:space="preserve">, </w:t>
      </w:r>
      <w:r w:rsidRPr="00174CA2">
        <w:rPr>
          <w:sz w:val="28"/>
          <w:szCs w:val="28"/>
        </w:rPr>
        <w:t xml:space="preserve"> Durée</w:t>
      </w:r>
      <w:r w:rsidR="00EC172D" w:rsidRPr="00174CA2">
        <w:rPr>
          <w:sz w:val="28"/>
          <w:szCs w:val="28"/>
        </w:rPr>
        <w:t xml:space="preserve">, </w:t>
      </w:r>
      <w:r w:rsidRPr="00174CA2">
        <w:rPr>
          <w:sz w:val="28"/>
          <w:szCs w:val="28"/>
        </w:rPr>
        <w:t xml:space="preserve"> Co-médications </w:t>
      </w:r>
    </w:p>
    <w:p w:rsidR="00EC172D" w:rsidRPr="00174CA2" w:rsidRDefault="00EC172D" w:rsidP="00EC172D">
      <w:pPr>
        <w:rPr>
          <w:sz w:val="28"/>
          <w:szCs w:val="28"/>
        </w:rPr>
      </w:pPr>
      <w:r w:rsidRPr="00174CA2">
        <w:rPr>
          <w:sz w:val="28"/>
          <w:szCs w:val="28"/>
        </w:rPr>
        <w:t xml:space="preserve">Coût </w:t>
      </w:r>
    </w:p>
    <w:p w:rsidR="00EC172D" w:rsidRPr="00174CA2" w:rsidRDefault="001D4FE3" w:rsidP="00EC172D">
      <w:pPr>
        <w:rPr>
          <w:sz w:val="28"/>
          <w:szCs w:val="28"/>
        </w:rPr>
      </w:pPr>
      <w:r w:rsidRPr="00174CA2">
        <w:rPr>
          <w:sz w:val="28"/>
          <w:szCs w:val="28"/>
        </w:rPr>
        <w:t xml:space="preserve"> Relation de confiance </w:t>
      </w:r>
    </w:p>
    <w:p w:rsidR="00EC172D" w:rsidRPr="00174CA2" w:rsidRDefault="001D4FE3" w:rsidP="00EC172D">
      <w:pPr>
        <w:rPr>
          <w:sz w:val="28"/>
          <w:szCs w:val="28"/>
        </w:rPr>
      </w:pPr>
      <w:r w:rsidRPr="00174CA2">
        <w:rPr>
          <w:sz w:val="28"/>
          <w:szCs w:val="28"/>
        </w:rPr>
        <w:t>Motivation</w:t>
      </w:r>
    </w:p>
    <w:p w:rsidR="00A447C8" w:rsidRPr="00A447C8" w:rsidRDefault="001D4FE3" w:rsidP="00A447C8">
      <w:pPr>
        <w:rPr>
          <w:sz w:val="28"/>
          <w:szCs w:val="28"/>
        </w:rPr>
      </w:pPr>
      <w:r w:rsidRPr="00174CA2">
        <w:rPr>
          <w:sz w:val="28"/>
          <w:szCs w:val="28"/>
        </w:rPr>
        <w:lastRenderedPageBreak/>
        <w:t>Coordina</w:t>
      </w:r>
      <w:r w:rsidR="00EC172D" w:rsidRPr="00174CA2">
        <w:rPr>
          <w:sz w:val="28"/>
          <w:szCs w:val="28"/>
        </w:rPr>
        <w:t xml:space="preserve">tion entre les soignants </w:t>
      </w:r>
    </w:p>
    <w:p w:rsidR="00874977" w:rsidRDefault="0012541B" w:rsidP="00A447C8">
      <w:pPr>
        <w:rPr>
          <w:sz w:val="28"/>
          <w:szCs w:val="28"/>
        </w:rPr>
      </w:pPr>
      <w:r w:rsidRPr="00A447C8">
        <w:rPr>
          <w:sz w:val="28"/>
          <w:szCs w:val="28"/>
        </w:rPr>
        <w:t xml:space="preserve"> </w:t>
      </w:r>
    </w:p>
    <w:p w:rsidR="0012541B" w:rsidRPr="00A447C8" w:rsidRDefault="0012541B" w:rsidP="00A447C8">
      <w:pPr>
        <w:rPr>
          <w:sz w:val="28"/>
          <w:szCs w:val="28"/>
        </w:rPr>
      </w:pPr>
      <w:r w:rsidRPr="00A447C8">
        <w:rPr>
          <w:sz w:val="28"/>
          <w:szCs w:val="28"/>
        </w:rPr>
        <w:t>Les alternatives à la prescription médicamenteuse :</w:t>
      </w:r>
    </w:p>
    <w:p w:rsidR="00A447C8" w:rsidRDefault="0012541B">
      <w:pPr>
        <w:rPr>
          <w:sz w:val="28"/>
          <w:szCs w:val="28"/>
        </w:rPr>
      </w:pPr>
      <w:r w:rsidRPr="00A447C8">
        <w:rPr>
          <w:sz w:val="28"/>
          <w:szCs w:val="28"/>
        </w:rPr>
        <w:t xml:space="preserve">Des efforts ont été entrepris pour promouvoir des alternatives à la prescription médicamenteuse. L’HAS promeut la notion de « thérapeutique non médicamenteuse », comprenant les règles hygiéno-diététiques, les thérapies psychologiques, les thérapeutiques physiques (kinésithérapie …). </w:t>
      </w:r>
    </w:p>
    <w:p w:rsidR="00AB4417" w:rsidRPr="00A447C8" w:rsidRDefault="0012541B">
      <w:pPr>
        <w:rPr>
          <w:sz w:val="28"/>
          <w:szCs w:val="28"/>
        </w:rPr>
      </w:pPr>
      <w:r w:rsidRPr="00A447C8">
        <w:rPr>
          <w:sz w:val="28"/>
          <w:szCs w:val="28"/>
        </w:rPr>
        <w:t>Ces thérapeutiques pouvant être prescrites sur l’ordonnance, être énoncées seulement oralement, donner lieu à la distribution de brochures d’information, ou encore consister en une mise à disposition par le médecin de coordonnées de professionnels spécialisés. Celles-ci auraient notamment toute leur place dans la prise en charge de pathologies cardiovasculaires (HTA, dysl</w:t>
      </w:r>
      <w:r w:rsidR="00A447C8">
        <w:rPr>
          <w:sz w:val="28"/>
          <w:szCs w:val="28"/>
        </w:rPr>
        <w:t>ipidémie) ou dans l’insomnie</w:t>
      </w:r>
      <w:r w:rsidRPr="00A447C8">
        <w:rPr>
          <w:sz w:val="28"/>
          <w:szCs w:val="28"/>
        </w:rPr>
        <w:t>. Les raisons pour lesquelles les médicaments sont prescrits restent peu connues et en particulier la proportion pour laquelle une prescription de thérapeutique non médicamenteuse pourrait être utilisée.</w:t>
      </w:r>
    </w:p>
    <w:p w:rsidR="00882BDB" w:rsidRDefault="00882BDB"/>
    <w:p w:rsidR="00A447C8" w:rsidRDefault="00A447C8" w:rsidP="00224BC5">
      <w:r>
        <w:t>Références bibliographiques :</w:t>
      </w:r>
    </w:p>
    <w:p w:rsidR="00224BC5" w:rsidRDefault="00224BC5" w:rsidP="00A447C8">
      <w:r>
        <w:t xml:space="preserve">Prescription et observance chez l'enfant et l'adolescent. Point de vue du psychiatre  </w:t>
      </w:r>
      <w:r w:rsidRPr="00A447C8">
        <w:rPr>
          <w:b/>
        </w:rPr>
        <w:t xml:space="preserve">Ph. Duverger, J. Malka, A. </w:t>
      </w:r>
      <w:proofErr w:type="spellStart"/>
      <w:r w:rsidRPr="00A447C8">
        <w:rPr>
          <w:b/>
        </w:rPr>
        <w:t>Ninus</w:t>
      </w:r>
      <w:proofErr w:type="spellEnd"/>
      <w:r>
        <w:t xml:space="preserve"> </w:t>
      </w:r>
      <w:r w:rsidR="007E1AA6">
        <w:t>.</w:t>
      </w:r>
    </w:p>
    <w:p w:rsidR="007E1AA6" w:rsidRPr="007E1AA6" w:rsidRDefault="007E1AA6" w:rsidP="007E1AA6">
      <w:pPr>
        <w:pStyle w:val="Default"/>
        <w:rPr>
          <w:rFonts w:asciiTheme="minorHAnsi" w:hAnsiTheme="minorHAnsi" w:cstheme="minorHAnsi"/>
          <w:sz w:val="22"/>
          <w:szCs w:val="22"/>
        </w:rPr>
      </w:pPr>
      <w:r w:rsidRPr="007E1AA6">
        <w:rPr>
          <w:rFonts w:ascii="Arial" w:hAnsi="Arial" w:cs="Arial"/>
        </w:rPr>
        <w:t xml:space="preserve"> </w:t>
      </w:r>
      <w:r w:rsidRPr="007E1AA6">
        <w:rPr>
          <w:rFonts w:asciiTheme="minorHAnsi" w:hAnsiTheme="minorHAnsi" w:cstheme="minorHAnsi"/>
          <w:bCs/>
          <w:sz w:val="22"/>
          <w:szCs w:val="22"/>
        </w:rPr>
        <w:t>L’</w:t>
      </w:r>
      <w:r>
        <w:rPr>
          <w:rFonts w:asciiTheme="minorHAnsi" w:hAnsiTheme="minorHAnsi" w:cstheme="minorHAnsi"/>
          <w:bCs/>
          <w:sz w:val="22"/>
          <w:szCs w:val="22"/>
        </w:rPr>
        <w:t xml:space="preserve">observance thérapeutique- présentation du concept, moyens de promotions et évaluation d’inégalité d’accès à </w:t>
      </w:r>
      <w:r w:rsidRPr="007E1AA6">
        <w:rPr>
          <w:rFonts w:asciiTheme="minorHAnsi" w:hAnsiTheme="minorHAnsi" w:cstheme="minorHAnsi"/>
          <w:bCs/>
          <w:sz w:val="22"/>
          <w:szCs w:val="22"/>
        </w:rPr>
        <w:t>L’ETP</w:t>
      </w:r>
      <w:r>
        <w:rPr>
          <w:rFonts w:asciiTheme="minorHAnsi" w:hAnsiTheme="minorHAnsi" w:cstheme="minorHAnsi"/>
          <w:bCs/>
          <w:sz w:val="22"/>
          <w:szCs w:val="22"/>
        </w:rPr>
        <w:t xml:space="preserve">, </w:t>
      </w:r>
      <w:r w:rsidRPr="007E1AA6">
        <w:rPr>
          <w:rFonts w:asciiTheme="minorHAnsi" w:hAnsiTheme="minorHAnsi" w:cstheme="minorHAnsi"/>
          <w:bCs/>
          <w:sz w:val="22"/>
          <w:szCs w:val="22"/>
        </w:rPr>
        <w:t xml:space="preserve"> </w:t>
      </w:r>
      <w:r w:rsidRPr="007E1AA6">
        <w:rPr>
          <w:rFonts w:asciiTheme="minorHAnsi" w:hAnsiTheme="minorHAnsi" w:cstheme="minorHAnsi"/>
          <w:b/>
          <w:bCs/>
          <w:sz w:val="22"/>
          <w:szCs w:val="22"/>
        </w:rPr>
        <w:t xml:space="preserve">LOUCHEZ </w:t>
      </w:r>
      <w:proofErr w:type="spellStart"/>
      <w:r w:rsidRPr="007E1AA6">
        <w:rPr>
          <w:rFonts w:asciiTheme="minorHAnsi" w:hAnsiTheme="minorHAnsi" w:cstheme="minorHAnsi"/>
          <w:b/>
          <w:bCs/>
          <w:sz w:val="22"/>
          <w:szCs w:val="22"/>
        </w:rPr>
        <w:t>Aniss</w:t>
      </w:r>
      <w:proofErr w:type="spellEnd"/>
      <w:r w:rsidRPr="007E1AA6">
        <w:rPr>
          <w:rFonts w:asciiTheme="minorHAnsi" w:hAnsiTheme="minorHAnsi" w:cstheme="minorHAnsi"/>
          <w:b/>
          <w:bCs/>
          <w:sz w:val="22"/>
          <w:szCs w:val="22"/>
        </w:rPr>
        <w:t>,</w:t>
      </w:r>
      <w:r>
        <w:rPr>
          <w:rFonts w:ascii="Arial" w:hAnsi="Arial" w:cs="Arial"/>
          <w:b/>
          <w:bCs/>
          <w:sz w:val="23"/>
          <w:szCs w:val="23"/>
        </w:rPr>
        <w:t xml:space="preserve"> </w:t>
      </w:r>
      <w:r w:rsidRPr="007E1AA6">
        <w:rPr>
          <w:rFonts w:asciiTheme="minorHAnsi" w:hAnsiTheme="minorHAnsi" w:cstheme="minorHAnsi"/>
          <w:sz w:val="22"/>
          <w:szCs w:val="22"/>
        </w:rPr>
        <w:t>Université de Lille 2</w:t>
      </w:r>
      <w:r>
        <w:rPr>
          <w:rFonts w:ascii="Arial" w:hAnsi="Arial" w:cs="Arial"/>
          <w:sz w:val="23"/>
          <w:szCs w:val="23"/>
        </w:rPr>
        <w:t xml:space="preserve"> </w:t>
      </w:r>
      <w:r w:rsidRPr="00874977">
        <w:t xml:space="preserve"> </w:t>
      </w:r>
    </w:p>
    <w:p w:rsidR="007E1AA6" w:rsidRDefault="007E1AA6" w:rsidP="007E1AA6">
      <w:pPr>
        <w:pStyle w:val="Default"/>
        <w:rPr>
          <w:sz w:val="23"/>
          <w:szCs w:val="23"/>
        </w:rPr>
      </w:pPr>
      <w:r>
        <w:t xml:space="preserve"> </w:t>
      </w:r>
      <w:r>
        <w:rPr>
          <w:sz w:val="23"/>
          <w:szCs w:val="23"/>
        </w:rPr>
        <w:t xml:space="preserve">1 </w:t>
      </w:r>
    </w:p>
    <w:p w:rsidR="007E1AA6" w:rsidRDefault="007E1AA6" w:rsidP="007E1AA6">
      <w:pPr>
        <w:pStyle w:val="Default"/>
        <w:rPr>
          <w:color w:val="auto"/>
        </w:rPr>
      </w:pPr>
    </w:p>
    <w:p w:rsidR="007E1AA6" w:rsidRDefault="007E1AA6" w:rsidP="00874977">
      <w:pPr>
        <w:pStyle w:val="Default"/>
        <w:rPr>
          <w:rFonts w:ascii="Arial" w:hAnsi="Arial" w:cs="Arial"/>
          <w:sz w:val="23"/>
          <w:szCs w:val="23"/>
        </w:rPr>
      </w:pPr>
    </w:p>
    <w:p w:rsidR="00874977" w:rsidRDefault="00874977" w:rsidP="00874977">
      <w:pPr>
        <w:pStyle w:val="Default"/>
        <w:rPr>
          <w:sz w:val="23"/>
          <w:szCs w:val="23"/>
        </w:rPr>
      </w:pPr>
      <w:r>
        <w:t xml:space="preserve"> </w:t>
      </w:r>
    </w:p>
    <w:p w:rsidR="00874977" w:rsidRDefault="00874977" w:rsidP="00874977">
      <w:pPr>
        <w:pStyle w:val="Default"/>
        <w:rPr>
          <w:color w:val="auto"/>
        </w:rPr>
      </w:pPr>
    </w:p>
    <w:tbl>
      <w:tblPr>
        <w:tblW w:w="0" w:type="auto"/>
        <w:tblBorders>
          <w:top w:val="nil"/>
          <w:left w:val="nil"/>
          <w:bottom w:val="nil"/>
          <w:right w:val="nil"/>
        </w:tblBorders>
        <w:tblLayout w:type="fixed"/>
        <w:tblLook w:val="0000"/>
      </w:tblPr>
      <w:tblGrid>
        <w:gridCol w:w="4423"/>
        <w:gridCol w:w="4423"/>
      </w:tblGrid>
      <w:tr w:rsidR="00874977">
        <w:trPr>
          <w:trHeight w:val="250"/>
        </w:trPr>
        <w:tc>
          <w:tcPr>
            <w:tcW w:w="4423" w:type="dxa"/>
          </w:tcPr>
          <w:p w:rsidR="00874977" w:rsidRDefault="00874977">
            <w:pPr>
              <w:pStyle w:val="Default"/>
              <w:rPr>
                <w:rFonts w:ascii="Arial" w:hAnsi="Arial" w:cs="Arial"/>
                <w:sz w:val="23"/>
                <w:szCs w:val="23"/>
              </w:rPr>
            </w:pPr>
            <w:r>
              <w:rPr>
                <w:rFonts w:ascii="Arial" w:hAnsi="Arial" w:cs="Arial"/>
                <w:sz w:val="23"/>
                <w:szCs w:val="23"/>
              </w:rPr>
              <w:t xml:space="preserve"> </w:t>
            </w:r>
          </w:p>
        </w:tc>
        <w:tc>
          <w:tcPr>
            <w:tcW w:w="4423" w:type="dxa"/>
          </w:tcPr>
          <w:p w:rsidR="00874977" w:rsidRDefault="00874977">
            <w:pPr>
              <w:pStyle w:val="Default"/>
              <w:rPr>
                <w:sz w:val="23"/>
                <w:szCs w:val="23"/>
              </w:rPr>
            </w:pPr>
            <w:r>
              <w:rPr>
                <w:rFonts w:ascii="Arial" w:hAnsi="Arial" w:cs="Arial"/>
                <w:sz w:val="23"/>
                <w:szCs w:val="23"/>
              </w:rPr>
              <w:t xml:space="preserve"> </w:t>
            </w:r>
          </w:p>
        </w:tc>
      </w:tr>
    </w:tbl>
    <w:p w:rsidR="00874977" w:rsidRDefault="00874977" w:rsidP="00874977">
      <w:pPr>
        <w:pStyle w:val="Default"/>
        <w:rPr>
          <w:sz w:val="23"/>
          <w:szCs w:val="23"/>
        </w:rPr>
      </w:pPr>
      <w:r>
        <w:rPr>
          <w:sz w:val="23"/>
          <w:szCs w:val="23"/>
        </w:rPr>
        <w:t xml:space="preserve"> </w:t>
      </w:r>
    </w:p>
    <w:p w:rsidR="00874977" w:rsidRDefault="00874977" w:rsidP="00874977">
      <w:pPr>
        <w:pStyle w:val="Default"/>
        <w:rPr>
          <w:color w:val="auto"/>
        </w:rPr>
      </w:pPr>
    </w:p>
    <w:tbl>
      <w:tblPr>
        <w:tblW w:w="0" w:type="auto"/>
        <w:tblBorders>
          <w:top w:val="nil"/>
          <w:left w:val="nil"/>
          <w:bottom w:val="nil"/>
          <w:right w:val="nil"/>
        </w:tblBorders>
        <w:tblLayout w:type="fixed"/>
        <w:tblLook w:val="0000"/>
      </w:tblPr>
      <w:tblGrid>
        <w:gridCol w:w="4423"/>
        <w:gridCol w:w="4423"/>
      </w:tblGrid>
      <w:tr w:rsidR="00874977">
        <w:trPr>
          <w:trHeight w:val="250"/>
        </w:trPr>
        <w:tc>
          <w:tcPr>
            <w:tcW w:w="4423" w:type="dxa"/>
          </w:tcPr>
          <w:p w:rsidR="00874977" w:rsidRDefault="00874977">
            <w:pPr>
              <w:pStyle w:val="Default"/>
              <w:rPr>
                <w:rFonts w:ascii="Arial" w:hAnsi="Arial" w:cs="Arial"/>
                <w:sz w:val="23"/>
                <w:szCs w:val="23"/>
              </w:rPr>
            </w:pPr>
            <w:r>
              <w:rPr>
                <w:rFonts w:ascii="Arial" w:hAnsi="Arial" w:cs="Arial"/>
                <w:sz w:val="23"/>
                <w:szCs w:val="23"/>
              </w:rPr>
              <w:t xml:space="preserve"> </w:t>
            </w:r>
          </w:p>
        </w:tc>
        <w:tc>
          <w:tcPr>
            <w:tcW w:w="4423" w:type="dxa"/>
          </w:tcPr>
          <w:p w:rsidR="00874977" w:rsidRDefault="00874977">
            <w:pPr>
              <w:pStyle w:val="Default"/>
              <w:rPr>
                <w:sz w:val="23"/>
                <w:szCs w:val="23"/>
              </w:rPr>
            </w:pPr>
          </w:p>
        </w:tc>
      </w:tr>
    </w:tbl>
    <w:p w:rsidR="00874977" w:rsidRDefault="00874977" w:rsidP="00A447C8"/>
    <w:p w:rsidR="00874977" w:rsidRDefault="00874977" w:rsidP="00874977">
      <w:pPr>
        <w:pStyle w:val="Default"/>
      </w:pPr>
    </w:p>
    <w:p w:rsidR="00874977" w:rsidRDefault="00874977" w:rsidP="00874977">
      <w:pPr>
        <w:pStyle w:val="Default"/>
        <w:rPr>
          <w:sz w:val="23"/>
          <w:szCs w:val="23"/>
        </w:rPr>
      </w:pPr>
      <w:r>
        <w:t xml:space="preserve"> </w:t>
      </w:r>
      <w:r>
        <w:rPr>
          <w:sz w:val="23"/>
          <w:szCs w:val="23"/>
        </w:rPr>
        <w:t xml:space="preserve"> </w:t>
      </w:r>
    </w:p>
    <w:p w:rsidR="00874977" w:rsidRDefault="00874977" w:rsidP="00874977">
      <w:pPr>
        <w:pStyle w:val="Default"/>
        <w:rPr>
          <w:color w:val="auto"/>
        </w:rPr>
      </w:pPr>
    </w:p>
    <w:tbl>
      <w:tblPr>
        <w:tblW w:w="0" w:type="auto"/>
        <w:tblBorders>
          <w:top w:val="nil"/>
          <w:left w:val="nil"/>
          <w:bottom w:val="nil"/>
          <w:right w:val="nil"/>
        </w:tblBorders>
        <w:tblLayout w:type="fixed"/>
        <w:tblLook w:val="0000"/>
      </w:tblPr>
      <w:tblGrid>
        <w:gridCol w:w="4423"/>
        <w:gridCol w:w="4423"/>
      </w:tblGrid>
      <w:tr w:rsidR="00874977">
        <w:trPr>
          <w:trHeight w:val="250"/>
        </w:trPr>
        <w:tc>
          <w:tcPr>
            <w:tcW w:w="4423" w:type="dxa"/>
          </w:tcPr>
          <w:p w:rsidR="00874977" w:rsidRDefault="00874977">
            <w:pPr>
              <w:pStyle w:val="Default"/>
              <w:rPr>
                <w:rFonts w:ascii="Arial" w:hAnsi="Arial" w:cs="Arial"/>
                <w:sz w:val="23"/>
                <w:szCs w:val="23"/>
              </w:rPr>
            </w:pPr>
            <w:r>
              <w:rPr>
                <w:rFonts w:ascii="Arial" w:hAnsi="Arial" w:cs="Arial"/>
                <w:sz w:val="23"/>
                <w:szCs w:val="23"/>
              </w:rPr>
              <w:t xml:space="preserve"> </w:t>
            </w:r>
          </w:p>
        </w:tc>
        <w:tc>
          <w:tcPr>
            <w:tcW w:w="4423" w:type="dxa"/>
          </w:tcPr>
          <w:p w:rsidR="00874977" w:rsidRDefault="00874977">
            <w:pPr>
              <w:pStyle w:val="Default"/>
              <w:rPr>
                <w:sz w:val="23"/>
                <w:szCs w:val="23"/>
              </w:rPr>
            </w:pPr>
          </w:p>
        </w:tc>
      </w:tr>
    </w:tbl>
    <w:p w:rsidR="00224BC5" w:rsidRDefault="00224BC5"/>
    <w:sectPr w:rsidR="00224BC5" w:rsidSect="00AB44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715"/>
    <w:multiLevelType w:val="multilevel"/>
    <w:tmpl w:val="77FC5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6C43789"/>
    <w:multiLevelType w:val="multilevel"/>
    <w:tmpl w:val="6E0AF6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2541B"/>
    <w:rsid w:val="0012541B"/>
    <w:rsid w:val="00137A32"/>
    <w:rsid w:val="00174CA2"/>
    <w:rsid w:val="001B5851"/>
    <w:rsid w:val="001D4FE3"/>
    <w:rsid w:val="001E6D98"/>
    <w:rsid w:val="00224BC5"/>
    <w:rsid w:val="00621B07"/>
    <w:rsid w:val="007B0B72"/>
    <w:rsid w:val="007E1AA6"/>
    <w:rsid w:val="00874977"/>
    <w:rsid w:val="00882BDB"/>
    <w:rsid w:val="008B0B41"/>
    <w:rsid w:val="009B446E"/>
    <w:rsid w:val="00A447C8"/>
    <w:rsid w:val="00A74BB7"/>
    <w:rsid w:val="00AB4417"/>
    <w:rsid w:val="00E73C28"/>
    <w:rsid w:val="00EC172D"/>
    <w:rsid w:val="00EC1929"/>
    <w:rsid w:val="00F31C31"/>
    <w:rsid w:val="00F962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4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41B"/>
    <w:pPr>
      <w:ind w:left="720"/>
      <w:contextualSpacing/>
    </w:pPr>
  </w:style>
  <w:style w:type="paragraph" w:customStyle="1" w:styleId="Default">
    <w:name w:val="Default"/>
    <w:rsid w:val="008749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1258</Words>
  <Characters>6924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dc:creator>
  <cp:lastModifiedBy>VMI</cp:lastModifiedBy>
  <cp:revision>2</cp:revision>
  <dcterms:created xsi:type="dcterms:W3CDTF">2020-12-26T09:46:00Z</dcterms:created>
  <dcterms:modified xsi:type="dcterms:W3CDTF">2020-12-26T09:46:00Z</dcterms:modified>
</cp:coreProperties>
</file>