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3C60" w:rsidRPr="00095F45" w:rsidRDefault="00095F45" w:rsidP="00095F45">
      <w:pPr>
        <w:bidi/>
        <w:ind w:firstLine="567"/>
        <w:jc w:val="center"/>
        <w:rPr>
          <w:rFonts w:cs="Traditional Arabic"/>
          <w:b/>
          <w:bCs/>
          <w:sz w:val="32"/>
          <w:szCs w:val="32"/>
          <w:u w:val="single"/>
          <w:rtl/>
        </w:rPr>
      </w:pPr>
      <w:bookmarkStart w:id="0" w:name="_GoBack"/>
      <w:bookmarkEnd w:id="0"/>
      <w:r w:rsidRPr="00095F45">
        <w:rPr>
          <w:rFonts w:cs="Traditional Arabic" w:hint="cs"/>
          <w:b/>
          <w:bCs/>
          <w:sz w:val="32"/>
          <w:szCs w:val="32"/>
          <w:u w:val="single"/>
          <w:rtl/>
        </w:rPr>
        <w:t>الإجابة النموذجية عن امتحان مادة عقد الزواج (سنة أولى ماستر، تخصص قانون الأسرة)</w:t>
      </w:r>
    </w:p>
    <w:p w:rsidR="00095F45" w:rsidRPr="00095F45" w:rsidRDefault="00095F45" w:rsidP="00095F45">
      <w:pPr>
        <w:bidi/>
        <w:ind w:firstLine="567"/>
        <w:rPr>
          <w:rFonts w:cs="Traditional Arabic"/>
          <w:b/>
          <w:bCs/>
          <w:sz w:val="32"/>
          <w:szCs w:val="32"/>
          <w:rtl/>
        </w:rPr>
      </w:pPr>
      <w:r>
        <w:rPr>
          <w:rFonts w:cs="Traditional Arabic" w:hint="cs"/>
          <w:b/>
          <w:bCs/>
          <w:sz w:val="32"/>
          <w:szCs w:val="32"/>
          <w:rtl/>
        </w:rPr>
        <w:t xml:space="preserve">أولا: </w:t>
      </w:r>
      <w:r w:rsidRPr="00095F45">
        <w:rPr>
          <w:rFonts w:cs="Traditional Arabic" w:hint="cs"/>
          <w:b/>
          <w:bCs/>
          <w:sz w:val="32"/>
          <w:szCs w:val="32"/>
          <w:rtl/>
        </w:rPr>
        <w:t>دور النيابة العامة في القضايا الرامية إلى تطبيق أحكام قانون الأسرة</w:t>
      </w:r>
      <w:r w:rsidR="00B85CF1">
        <w:rPr>
          <w:rFonts w:cs="Traditional Arabic" w:hint="cs"/>
          <w:b/>
          <w:bCs/>
          <w:sz w:val="32"/>
          <w:szCs w:val="32"/>
          <w:rtl/>
        </w:rPr>
        <w:t xml:space="preserve"> (5ن)</w:t>
      </w:r>
    </w:p>
    <w:p w:rsidR="00EC2576" w:rsidRDefault="00EC2576" w:rsidP="00293C60">
      <w:pPr>
        <w:bidi/>
        <w:ind w:firstLine="567"/>
        <w:jc w:val="both"/>
        <w:rPr>
          <w:rFonts w:cs="Traditional Arabic"/>
          <w:sz w:val="32"/>
          <w:szCs w:val="32"/>
        </w:rPr>
      </w:pPr>
      <w:r w:rsidRPr="00D01781">
        <w:rPr>
          <w:rFonts w:cs="Traditional Arabic" w:hint="cs"/>
          <w:sz w:val="32"/>
          <w:szCs w:val="32"/>
          <w:rtl/>
        </w:rPr>
        <w:t>تنصّ المادّة 3 مكرّر من الأمر 05-02 على أنّه "تعدّ النّيابة العامّة طرفا أصليّا في جميع القضايا الرّامي</w:t>
      </w:r>
      <w:r>
        <w:rPr>
          <w:rFonts w:cs="Traditional Arabic" w:hint="cs"/>
          <w:sz w:val="32"/>
          <w:szCs w:val="32"/>
          <w:rtl/>
        </w:rPr>
        <w:t>ة إلى تطبيق أحكام هذا القانون".</w:t>
      </w:r>
    </w:p>
    <w:p w:rsidR="00EC2576" w:rsidRDefault="00EC2576" w:rsidP="00EC2576">
      <w:pPr>
        <w:bidi/>
        <w:ind w:left="567"/>
        <w:jc w:val="both"/>
        <w:rPr>
          <w:rFonts w:cs="Traditional Arabic"/>
          <w:sz w:val="32"/>
          <w:szCs w:val="32"/>
          <w:rtl/>
        </w:rPr>
      </w:pPr>
      <w:r>
        <w:rPr>
          <w:rFonts w:cs="Traditional Arabic" w:hint="cs"/>
          <w:sz w:val="32"/>
          <w:szCs w:val="32"/>
          <w:rtl/>
        </w:rPr>
        <w:t>العلّة في اعتبار النّيابة العامّة طرفا أصليّا في دعاوى قانون الأسرة هو ارتباط أحكام هذا القانون بالخليّة الأساسية للمجتمع، وبالتّالي فإنّ المصالح المراعاة في أحكامها مصالح عامّة للمجتمع، وليست مصالح فرديّة بحتة، ولهذا فإنّ حماية الأسرة وصيانة عوامل قيامها واستمرارها ونظامها من المصلحة العامّة الّتي يكون للنّيابة العامّة فيه دور بالغ الأهميّة. كما أن استمداد هذا القانون من الشريعة الإسلامية والإحالة عليه عند عدم النصّ (المادة 222) استدعت جعل النيابة العامة طرفا أصليا حتى تحرص على التزامها.</w:t>
      </w:r>
    </w:p>
    <w:p w:rsidR="00EC2576" w:rsidRDefault="00EC2576" w:rsidP="00EC2576">
      <w:pPr>
        <w:bidi/>
        <w:ind w:left="567"/>
        <w:jc w:val="both"/>
        <w:rPr>
          <w:rFonts w:cs="Traditional Arabic"/>
          <w:sz w:val="32"/>
          <w:szCs w:val="32"/>
          <w:rtl/>
        </w:rPr>
      </w:pPr>
      <w:r>
        <w:rPr>
          <w:rFonts w:cs="Traditional Arabic" w:hint="cs"/>
          <w:sz w:val="32"/>
          <w:szCs w:val="32"/>
          <w:rtl/>
        </w:rPr>
        <w:t>ويظهر ذلك عمليا في نقاط أهمها:</w:t>
      </w:r>
    </w:p>
    <w:p w:rsidR="00EC2576" w:rsidRDefault="00EC2576" w:rsidP="00EC2576">
      <w:pPr>
        <w:pStyle w:val="Paragraphedeliste"/>
        <w:numPr>
          <w:ilvl w:val="0"/>
          <w:numId w:val="1"/>
        </w:numPr>
        <w:bidi/>
        <w:jc w:val="both"/>
        <w:rPr>
          <w:rFonts w:cs="Traditional Arabic"/>
          <w:sz w:val="32"/>
          <w:szCs w:val="32"/>
        </w:rPr>
      </w:pPr>
      <w:r>
        <w:rPr>
          <w:rFonts w:cs="Traditional Arabic" w:hint="cs"/>
          <w:sz w:val="32"/>
          <w:szCs w:val="32"/>
          <w:rtl/>
        </w:rPr>
        <w:t>ضرورة تبليغها بالدعاوى الرامية إلى تطبيق هذا القانون</w:t>
      </w:r>
    </w:p>
    <w:p w:rsidR="00EC2576" w:rsidRDefault="00EC2576" w:rsidP="00EC2576">
      <w:pPr>
        <w:pStyle w:val="Paragraphedeliste"/>
        <w:numPr>
          <w:ilvl w:val="0"/>
          <w:numId w:val="1"/>
        </w:numPr>
        <w:bidi/>
        <w:jc w:val="both"/>
        <w:rPr>
          <w:rFonts w:cs="Traditional Arabic"/>
          <w:sz w:val="32"/>
          <w:szCs w:val="32"/>
        </w:rPr>
      </w:pPr>
      <w:r>
        <w:rPr>
          <w:rFonts w:cs="Traditional Arabic" w:hint="cs"/>
          <w:sz w:val="32"/>
          <w:szCs w:val="32"/>
          <w:rtl/>
        </w:rPr>
        <w:t>حقها في تقديم طلبات من شأنها تطبيق أحكامه</w:t>
      </w:r>
    </w:p>
    <w:p w:rsidR="00EC2576" w:rsidRDefault="00EC2576" w:rsidP="00EC2576">
      <w:pPr>
        <w:pStyle w:val="Paragraphedeliste"/>
        <w:numPr>
          <w:ilvl w:val="0"/>
          <w:numId w:val="1"/>
        </w:numPr>
        <w:bidi/>
        <w:jc w:val="both"/>
        <w:rPr>
          <w:rFonts w:cs="Traditional Arabic"/>
          <w:sz w:val="32"/>
          <w:szCs w:val="32"/>
        </w:rPr>
      </w:pPr>
      <w:r>
        <w:rPr>
          <w:rFonts w:cs="Traditional Arabic" w:hint="cs"/>
          <w:sz w:val="32"/>
          <w:szCs w:val="32"/>
          <w:rtl/>
        </w:rPr>
        <w:t>حقها في تقديم طعون في الأحكام القضائية إذا لاحظت إخلالا بتطبيق أحكام هذا القانون</w:t>
      </w:r>
    </w:p>
    <w:p w:rsidR="00EC2576" w:rsidRDefault="00EC2576" w:rsidP="00EC2576">
      <w:pPr>
        <w:pStyle w:val="Paragraphedeliste"/>
        <w:numPr>
          <w:ilvl w:val="0"/>
          <w:numId w:val="1"/>
        </w:numPr>
        <w:bidi/>
        <w:jc w:val="both"/>
        <w:rPr>
          <w:rFonts w:cs="Traditional Arabic"/>
          <w:sz w:val="32"/>
          <w:szCs w:val="32"/>
        </w:rPr>
      </w:pPr>
      <w:r>
        <w:rPr>
          <w:rFonts w:cs="Traditional Arabic" w:hint="cs"/>
          <w:sz w:val="32"/>
          <w:szCs w:val="32"/>
          <w:rtl/>
        </w:rPr>
        <w:t>حقها في رفع دعاوى لتطبيق هذا القانون إذا اطلعت بمناسبة عملها على وضع غير قانوني (رفع دعوى إثبات نسب لطفل مجهول نسب)</w:t>
      </w:r>
    </w:p>
    <w:p w:rsidR="00B85CF1" w:rsidRDefault="00B85CF1" w:rsidP="00095F45">
      <w:pPr>
        <w:bidi/>
        <w:jc w:val="both"/>
        <w:rPr>
          <w:rFonts w:cs="Traditional Arabic"/>
          <w:b/>
          <w:bCs/>
          <w:sz w:val="32"/>
          <w:szCs w:val="32"/>
          <w:rtl/>
        </w:rPr>
      </w:pPr>
    </w:p>
    <w:p w:rsidR="00095F45" w:rsidRDefault="00095F45" w:rsidP="00B85CF1">
      <w:pPr>
        <w:bidi/>
        <w:jc w:val="both"/>
        <w:rPr>
          <w:rFonts w:cs="Traditional Arabic"/>
          <w:b/>
          <w:bCs/>
          <w:sz w:val="32"/>
          <w:szCs w:val="32"/>
          <w:rtl/>
        </w:rPr>
      </w:pPr>
      <w:r w:rsidRPr="00095F45">
        <w:rPr>
          <w:rFonts w:cs="Traditional Arabic" w:hint="cs"/>
          <w:b/>
          <w:bCs/>
          <w:sz w:val="32"/>
          <w:szCs w:val="32"/>
          <w:rtl/>
        </w:rPr>
        <w:t xml:space="preserve">ثانيا: </w:t>
      </w:r>
      <w:r w:rsidR="00EC2576" w:rsidRPr="00095F45">
        <w:rPr>
          <w:rFonts w:cs="Traditional Arabic" w:hint="cs"/>
          <w:b/>
          <w:bCs/>
          <w:sz w:val="32"/>
          <w:szCs w:val="32"/>
          <w:rtl/>
        </w:rPr>
        <w:t>حماية القاصر في عقد الزواج</w:t>
      </w:r>
      <w:r w:rsidR="00B85CF1">
        <w:rPr>
          <w:rFonts w:cs="Traditional Arabic" w:hint="cs"/>
          <w:b/>
          <w:bCs/>
          <w:sz w:val="32"/>
          <w:szCs w:val="32"/>
          <w:rtl/>
        </w:rPr>
        <w:t xml:space="preserve"> </w:t>
      </w:r>
      <w:r w:rsidR="00B85CF1">
        <w:rPr>
          <w:rFonts w:cs="Traditional Arabic" w:hint="cs"/>
          <w:b/>
          <w:bCs/>
          <w:sz w:val="32"/>
          <w:szCs w:val="32"/>
          <w:rtl/>
        </w:rPr>
        <w:t>(5ن)</w:t>
      </w:r>
    </w:p>
    <w:p w:rsidR="00EC2576" w:rsidRDefault="00EC2576" w:rsidP="00095F45">
      <w:pPr>
        <w:bidi/>
        <w:jc w:val="both"/>
        <w:rPr>
          <w:rFonts w:cs="Traditional Arabic"/>
          <w:sz w:val="32"/>
          <w:szCs w:val="32"/>
          <w:rtl/>
        </w:rPr>
      </w:pPr>
      <w:r>
        <w:rPr>
          <w:rFonts w:cs="Traditional Arabic" w:hint="cs"/>
          <w:sz w:val="32"/>
          <w:szCs w:val="32"/>
          <w:rtl/>
        </w:rPr>
        <w:t>يكون عبر أمور ثلاث:</w:t>
      </w:r>
    </w:p>
    <w:p w:rsidR="00293C60" w:rsidRPr="00095F45" w:rsidRDefault="00293C60" w:rsidP="00095F45">
      <w:pPr>
        <w:pStyle w:val="Paragraphedeliste"/>
        <w:numPr>
          <w:ilvl w:val="0"/>
          <w:numId w:val="14"/>
        </w:numPr>
        <w:bidi/>
        <w:jc w:val="both"/>
        <w:rPr>
          <w:rFonts w:cs="Traditional Arabic"/>
          <w:sz w:val="32"/>
          <w:szCs w:val="32"/>
          <w:rtl/>
        </w:rPr>
      </w:pPr>
      <w:r w:rsidRPr="00095F45">
        <w:rPr>
          <w:rFonts w:cs="Traditional Arabic" w:hint="cs"/>
          <w:sz w:val="32"/>
          <w:szCs w:val="32"/>
          <w:rtl/>
        </w:rPr>
        <w:t xml:space="preserve">اشتراط </w:t>
      </w:r>
      <w:r w:rsidR="00EC2576" w:rsidRPr="00095F45">
        <w:rPr>
          <w:rFonts w:cs="Traditional Arabic" w:hint="cs"/>
          <w:sz w:val="32"/>
          <w:szCs w:val="32"/>
          <w:rtl/>
        </w:rPr>
        <w:t>الترخيص</w:t>
      </w:r>
      <w:r w:rsidRPr="00095F45">
        <w:rPr>
          <w:rFonts w:cs="Traditional Arabic" w:hint="cs"/>
          <w:sz w:val="32"/>
          <w:szCs w:val="32"/>
          <w:rtl/>
        </w:rPr>
        <w:t xml:space="preserve">. </w:t>
      </w:r>
      <w:r w:rsidR="00EC2576" w:rsidRPr="00095F45">
        <w:rPr>
          <w:rFonts w:cs="Traditional Arabic" w:hint="cs"/>
          <w:sz w:val="32"/>
          <w:szCs w:val="32"/>
          <w:rtl/>
        </w:rPr>
        <w:t>تظهر حماية القاص</w:t>
      </w:r>
      <w:r w:rsidRPr="00095F45">
        <w:rPr>
          <w:rFonts w:cs="Traditional Arabic" w:hint="cs"/>
          <w:sz w:val="32"/>
          <w:szCs w:val="32"/>
          <w:rtl/>
        </w:rPr>
        <w:t>ر من خلال جعله بيد القضاء عبر الترخيص (رئيس قسم شؤون الأسرة)، بناء على توفر المصلحة أو الضرورة، بشرط التأكد من قدرة الطرفين على الزواج. نصّت المادة السابعة من قانون الأسرة الجزائري على أنّه "تكتمل أهليّة الرجل والمرأة في الزّواج بتمام 19 سنة، وللقاضي أن يرخّص بالزواج قبل ذلك للمصلحة أو للضرورة متى تأكدت قدرة الطرفين على الزواج. يكتسب الزّوج القاصر أهليّة التّقاضي فيما يتعلّق بآثار عقد الزّواج من حقوق والتزامات".</w:t>
      </w:r>
    </w:p>
    <w:p w:rsidR="00293C60" w:rsidRPr="00D01781" w:rsidRDefault="00293C60" w:rsidP="00095F45">
      <w:pPr>
        <w:pStyle w:val="Corpsdetexte"/>
        <w:numPr>
          <w:ilvl w:val="0"/>
          <w:numId w:val="14"/>
        </w:numPr>
        <w:jc w:val="both"/>
        <w:rPr>
          <w:rFonts w:cs="Traditional Arabic"/>
          <w:rtl/>
        </w:rPr>
      </w:pPr>
      <w:r>
        <w:rPr>
          <w:rFonts w:cs="Traditional Arabic" w:hint="cs"/>
          <w:rtl/>
        </w:rPr>
        <w:t xml:space="preserve">اشتراط موافقة القاصر لإبرام عقد زواجه، حيث تنص المادة 13 على أنه </w:t>
      </w:r>
      <w:r w:rsidRPr="00D01781">
        <w:rPr>
          <w:rFonts w:cs="Traditional Arabic" w:hint="cs"/>
          <w:rtl/>
        </w:rPr>
        <w:t>"لا يجوز للولي أبا كان أو غيره أن يجبر القاصرة التي هي في ولايته على الزواج ولا يجوز له أن يزوجها بدون موافقتها"</w:t>
      </w:r>
      <w:r>
        <w:rPr>
          <w:rFonts w:cs="Traditional Arabic" w:hint="cs"/>
          <w:rtl/>
        </w:rPr>
        <w:t>.</w:t>
      </w:r>
    </w:p>
    <w:p w:rsidR="00EC2576" w:rsidRPr="00D01781" w:rsidRDefault="00293C60" w:rsidP="00095F45">
      <w:pPr>
        <w:pStyle w:val="Corpsdetexte"/>
        <w:numPr>
          <w:ilvl w:val="0"/>
          <w:numId w:val="14"/>
        </w:numPr>
        <w:jc w:val="both"/>
        <w:rPr>
          <w:rFonts w:cs="Traditional Arabic"/>
        </w:rPr>
      </w:pPr>
      <w:r>
        <w:rPr>
          <w:rFonts w:cs="Traditional Arabic" w:hint="cs"/>
          <w:rtl/>
        </w:rPr>
        <w:lastRenderedPageBreak/>
        <w:t xml:space="preserve">اكتساب القاصر لأهلية التقاضي. </w:t>
      </w:r>
      <w:r w:rsidR="00EC2576" w:rsidRPr="00D01781">
        <w:rPr>
          <w:rFonts w:cs="Traditional Arabic" w:hint="cs"/>
          <w:rtl/>
        </w:rPr>
        <w:t xml:space="preserve">نصّ المشرّع على اكتساب القاصر أهليّة التّقاضي فيما يتعلّق بآثار عقد الزّواج من حقوق والتزامات، إذ لا يُعقل أن يُمنح القاصر إذنا بالزّواج ثمّ لا يُمنح أهليّة التّقاضي فيما يتعلّق بآثار الزّواج. </w:t>
      </w:r>
    </w:p>
    <w:p w:rsidR="000A5B6F" w:rsidRDefault="000A5B6F" w:rsidP="00293C60">
      <w:pPr>
        <w:bidi/>
        <w:rPr>
          <w:rtl/>
        </w:rPr>
      </w:pPr>
    </w:p>
    <w:p w:rsidR="00B85CF1" w:rsidRDefault="00B85CF1" w:rsidP="00095F45">
      <w:pPr>
        <w:bidi/>
        <w:rPr>
          <w:rFonts w:cs="Traditional Arabic"/>
          <w:b/>
          <w:bCs/>
          <w:sz w:val="32"/>
          <w:szCs w:val="32"/>
          <w:rtl/>
        </w:rPr>
      </w:pPr>
    </w:p>
    <w:p w:rsidR="00293C60" w:rsidRPr="00B85CF1" w:rsidRDefault="00095F45" w:rsidP="00B85CF1">
      <w:pPr>
        <w:bidi/>
        <w:rPr>
          <w:rFonts w:cs="Traditional Arabic"/>
          <w:b/>
          <w:bCs/>
          <w:sz w:val="32"/>
          <w:szCs w:val="32"/>
          <w:rtl/>
        </w:rPr>
      </w:pPr>
      <w:r w:rsidRPr="00B85CF1">
        <w:rPr>
          <w:rFonts w:cs="Traditional Arabic" w:hint="cs"/>
          <w:b/>
          <w:bCs/>
          <w:sz w:val="32"/>
          <w:szCs w:val="32"/>
          <w:rtl/>
        </w:rPr>
        <w:t xml:space="preserve">ثالثا: الحماية الإجرائية لحق المطلقة والمحضون في النفقة في ضوء القانون 24-01 المتضمن تدابير خاصة للحصول على النفقة </w:t>
      </w:r>
      <w:r w:rsidR="00B85CF1" w:rsidRPr="00B85CF1">
        <w:rPr>
          <w:rFonts w:cs="Traditional Arabic" w:hint="cs"/>
          <w:b/>
          <w:bCs/>
          <w:sz w:val="32"/>
          <w:szCs w:val="32"/>
          <w:rtl/>
        </w:rPr>
        <w:t>(5ن)</w:t>
      </w:r>
    </w:p>
    <w:p w:rsidR="00293C60" w:rsidRPr="00B85CF1" w:rsidRDefault="00293C60" w:rsidP="00293C60">
      <w:pPr>
        <w:bidi/>
        <w:rPr>
          <w:rFonts w:cs="Traditional Arabic"/>
          <w:sz w:val="32"/>
          <w:szCs w:val="32"/>
          <w:rtl/>
        </w:rPr>
      </w:pPr>
      <w:r w:rsidRPr="00B85CF1">
        <w:rPr>
          <w:rFonts w:cs="Traditional Arabic" w:hint="cs"/>
          <w:sz w:val="32"/>
          <w:szCs w:val="32"/>
          <w:rtl/>
        </w:rPr>
        <w:t>تم حماية حق المطلقة والمحضون في النفقة بجملة من الإجراءات، أهمها:</w:t>
      </w:r>
    </w:p>
    <w:p w:rsidR="00C20804" w:rsidRPr="00B85CF1" w:rsidRDefault="00C20804" w:rsidP="00095F45">
      <w:pPr>
        <w:pStyle w:val="Paragraphedeliste"/>
        <w:numPr>
          <w:ilvl w:val="0"/>
          <w:numId w:val="15"/>
        </w:numPr>
        <w:tabs>
          <w:tab w:val="right" w:pos="708"/>
          <w:tab w:val="right" w:pos="992"/>
        </w:tabs>
        <w:bidi/>
        <w:jc w:val="both"/>
        <w:rPr>
          <w:rFonts w:cs="Traditional Arabic"/>
          <w:sz w:val="32"/>
          <w:szCs w:val="32"/>
        </w:rPr>
      </w:pPr>
      <w:r w:rsidRPr="00B85CF1">
        <w:rPr>
          <w:rFonts w:cs="Traditional Arabic" w:hint="cs"/>
          <w:sz w:val="32"/>
          <w:szCs w:val="32"/>
          <w:rtl/>
        </w:rPr>
        <w:t>تكفّل وزارة العدل بملف نفقة الأطفال والمطلقة حصريا.</w:t>
      </w:r>
    </w:p>
    <w:p w:rsidR="00C20804" w:rsidRPr="00B85CF1" w:rsidRDefault="00095F45" w:rsidP="00095F45">
      <w:pPr>
        <w:tabs>
          <w:tab w:val="right" w:pos="708"/>
          <w:tab w:val="right" w:pos="992"/>
        </w:tabs>
        <w:bidi/>
        <w:jc w:val="both"/>
        <w:rPr>
          <w:rFonts w:cs="Traditional Arabic"/>
          <w:sz w:val="32"/>
          <w:szCs w:val="32"/>
          <w:rtl/>
        </w:rPr>
      </w:pPr>
      <w:r w:rsidRPr="00B85CF1">
        <w:rPr>
          <w:rFonts w:cs="Traditional Arabic"/>
          <w:sz w:val="32"/>
          <w:szCs w:val="32"/>
          <w:rtl/>
        </w:rPr>
        <w:tab/>
      </w:r>
      <w:r w:rsidRPr="00B85CF1">
        <w:rPr>
          <w:rFonts w:cs="Traditional Arabic"/>
          <w:sz w:val="32"/>
          <w:szCs w:val="32"/>
          <w:rtl/>
        </w:rPr>
        <w:tab/>
      </w:r>
      <w:r w:rsidR="00C20804" w:rsidRPr="00B85CF1">
        <w:rPr>
          <w:rFonts w:cs="Traditional Arabic" w:hint="cs"/>
          <w:sz w:val="32"/>
          <w:szCs w:val="32"/>
          <w:rtl/>
        </w:rPr>
        <w:t>العملية برمتها أنيطت بوزارة العدل، ما عدا ما تعلق بدفع المستحقات المتعلّقة بالنفقة وتحصيل المستحقات المالية لصالح صندوق النفقة من المدينين بها. اللتان تبقيان من اختصاص أمين الخزينة العمومية، أما باقي الإجراءات فهي تجري وتتم كلّها على مستوى وزارة العدل.سواء في شقها القضائي أو الإداري.</w:t>
      </w:r>
    </w:p>
    <w:p w:rsidR="00C20804" w:rsidRPr="00B85CF1" w:rsidRDefault="00C20804" w:rsidP="00C20804">
      <w:pPr>
        <w:tabs>
          <w:tab w:val="right" w:pos="708"/>
          <w:tab w:val="right" w:pos="992"/>
        </w:tabs>
        <w:bidi/>
        <w:ind w:left="425"/>
        <w:jc w:val="both"/>
        <w:rPr>
          <w:rFonts w:cs="Traditional Arabic"/>
          <w:sz w:val="32"/>
          <w:szCs w:val="32"/>
          <w:rtl/>
        </w:rPr>
      </w:pPr>
      <w:r w:rsidRPr="00B85CF1">
        <w:rPr>
          <w:rFonts w:cs="Traditional Arabic" w:hint="cs"/>
          <w:sz w:val="32"/>
          <w:szCs w:val="32"/>
          <w:rtl/>
        </w:rPr>
        <w:t>(إنشاء صندوق النفقة على مستوى وزارة العدل تحت تسيير وزير العدل، إنشاء قاعدة بيانات آلية تتعلق بالنفقة، اختصاص رئيس قسم شؤون الأسرة بتلقي طلبات الاستفادة من المستحقات المالية المنصوص عليها في هذا القانون، اختصاص رئيس قسم شؤون الأسرة بالبت في طلبات الاستفادة من المستحقات المالية بأمر ولائي، اختصاص رئيس قسم شؤون الأسرة بالفصل في أي إشكال يعترض الاستفادة من النفقة بموجب أمر ولائي في أجل ثلاثة أيام من تاريخ إخطاره، اختصاص رئيس قسم شؤون الأسرة بالبت في أي تغيّر من شأنه التأثير في الاستفادة من المستحقات المالية، اختصاص رئيس قسم شؤون الأسرة بالبت في مصير الملفات التي لم يتم تحيين وتحديث الوثائق المكونة لها خلال الثلاثي الأول من كل سنة لدى أمانة الأمين العام للمجلس القضائي، تكفّل المكاتب المنشأة على مستوى المحاكم الابتدائية بكل المسائل المتعلقة بملف النفقة، تكليف الأمين العام بالمجلس القضائي بمهام إدارة ملف تدابير الحصول على النفقة</w:t>
      </w:r>
      <w:r w:rsidR="00095F45" w:rsidRPr="00B85CF1">
        <w:rPr>
          <w:rFonts w:cs="Traditional Arabic" w:hint="cs"/>
          <w:sz w:val="32"/>
          <w:szCs w:val="32"/>
          <w:rtl/>
        </w:rPr>
        <w:t>)</w:t>
      </w:r>
    </w:p>
    <w:p w:rsidR="00C20804" w:rsidRPr="00B85CF1" w:rsidRDefault="00C20804" w:rsidP="00095F45">
      <w:pPr>
        <w:pStyle w:val="Paragraphedeliste"/>
        <w:numPr>
          <w:ilvl w:val="0"/>
          <w:numId w:val="15"/>
        </w:numPr>
        <w:tabs>
          <w:tab w:val="right" w:pos="708"/>
          <w:tab w:val="right" w:pos="992"/>
        </w:tabs>
        <w:bidi/>
        <w:jc w:val="both"/>
        <w:rPr>
          <w:rFonts w:cs="Traditional Arabic"/>
          <w:sz w:val="32"/>
          <w:szCs w:val="32"/>
        </w:rPr>
      </w:pPr>
      <w:r w:rsidRPr="00B85CF1">
        <w:rPr>
          <w:rFonts w:cs="Traditional Arabic" w:hint="cs"/>
          <w:sz w:val="32"/>
          <w:szCs w:val="32"/>
          <w:rtl/>
        </w:rPr>
        <w:t>مسؤولية المدين بالنفقة بعد اللجوء إلى صندوق النفقة.</w:t>
      </w:r>
    </w:p>
    <w:p w:rsidR="00C20804" w:rsidRPr="00B85CF1" w:rsidRDefault="00C20804" w:rsidP="000E3F28">
      <w:pPr>
        <w:tabs>
          <w:tab w:val="right" w:pos="708"/>
          <w:tab w:val="right" w:pos="992"/>
        </w:tabs>
        <w:bidi/>
        <w:jc w:val="both"/>
        <w:rPr>
          <w:rFonts w:cs="Traditional Arabic"/>
          <w:sz w:val="32"/>
          <w:szCs w:val="32"/>
          <w:rtl/>
        </w:rPr>
      </w:pPr>
      <w:r w:rsidRPr="00B85CF1">
        <w:rPr>
          <w:rFonts w:cs="Traditional Arabic" w:hint="cs"/>
          <w:sz w:val="32"/>
          <w:szCs w:val="32"/>
          <w:rtl/>
        </w:rPr>
        <w:tab/>
      </w:r>
      <w:r w:rsidRPr="00B85CF1">
        <w:rPr>
          <w:rFonts w:cs="Traditional Arabic" w:hint="cs"/>
          <w:sz w:val="32"/>
          <w:szCs w:val="32"/>
          <w:rtl/>
        </w:rPr>
        <w:tab/>
        <w:t>تضمن القانون 24-01 أحكاما بيّن فيها مسؤولية المدين بالنفقة بعد اللجوء إلى صندوق النفقة، بعد تقديم طلب الاستفادة من المستحقات المالية، وكذلك بعد دفع هذه المستحقات من طرف الصندوق للدائنين بالنفقة. حيث نصت المادة 4 من القانون بعبارة "دفع المستحقات المالية في إطار تطبيق أحكام هذا القانون لا يسقط التزام المدين بدفع النفقة".</w:t>
      </w:r>
      <w:r w:rsidR="000E3F28" w:rsidRPr="00B85CF1">
        <w:rPr>
          <w:rFonts w:cs="Traditional Arabic" w:hint="cs"/>
          <w:sz w:val="32"/>
          <w:szCs w:val="32"/>
          <w:rtl/>
        </w:rPr>
        <w:t xml:space="preserve"> كما نصّ على أن استفادة الدائنين من صندوق النفقة لا يمنع من متابعة الدائن حيث نصت </w:t>
      </w:r>
      <w:r w:rsidRPr="00B85CF1">
        <w:rPr>
          <w:rFonts w:cs="Traditional Arabic" w:hint="cs"/>
          <w:sz w:val="32"/>
          <w:szCs w:val="32"/>
          <w:rtl/>
        </w:rPr>
        <w:t xml:space="preserve">المادة 5 </w:t>
      </w:r>
      <w:r w:rsidR="000E3F28" w:rsidRPr="00B85CF1">
        <w:rPr>
          <w:rFonts w:cs="Traditional Arabic" w:hint="cs"/>
          <w:sz w:val="32"/>
          <w:szCs w:val="32"/>
          <w:rtl/>
        </w:rPr>
        <w:t>على أنّ</w:t>
      </w:r>
      <w:r w:rsidRPr="00B85CF1">
        <w:rPr>
          <w:rFonts w:cs="Traditional Arabic" w:hint="cs"/>
          <w:sz w:val="32"/>
          <w:szCs w:val="32"/>
          <w:rtl/>
        </w:rPr>
        <w:t xml:space="preserve"> "الاستفادة من أحكام هذا القانون لا تحول دون المتابعة الجزائية ضد المدين عن جنحة عدم دفع النفقة المنصوص </w:t>
      </w:r>
      <w:r w:rsidRPr="00B85CF1">
        <w:rPr>
          <w:rFonts w:cs="Traditional Arabic" w:hint="cs"/>
          <w:sz w:val="32"/>
          <w:szCs w:val="32"/>
          <w:rtl/>
        </w:rPr>
        <w:lastRenderedPageBreak/>
        <w:t>وا</w:t>
      </w:r>
      <w:r w:rsidR="000E3F28" w:rsidRPr="00B85CF1">
        <w:rPr>
          <w:rFonts w:cs="Traditional Arabic" w:hint="cs"/>
          <w:sz w:val="32"/>
          <w:szCs w:val="32"/>
          <w:rtl/>
        </w:rPr>
        <w:t>لمعاقب عليها في قانون العقوبات"، بل إن تحريك الدعوى العمومية ضد المدين بالنفقة يكون بشكل آلي ضده، إذ تنص المادة 6</w:t>
      </w:r>
      <w:r w:rsidR="000E3F28" w:rsidRPr="00B85CF1">
        <w:rPr>
          <w:rFonts w:cs="Traditional Arabic"/>
          <w:sz w:val="32"/>
          <w:szCs w:val="32"/>
        </w:rPr>
        <w:t>/</w:t>
      </w:r>
      <w:r w:rsidR="000E3F28" w:rsidRPr="00B85CF1">
        <w:rPr>
          <w:rFonts w:cs="Traditional Arabic" w:hint="cs"/>
          <w:sz w:val="32"/>
          <w:szCs w:val="32"/>
          <w:rtl/>
        </w:rPr>
        <w:t xml:space="preserve">6 على أنه </w:t>
      </w:r>
      <w:r w:rsidRPr="00B85CF1">
        <w:rPr>
          <w:rFonts w:cs="Traditional Arabic" w:hint="cs"/>
          <w:sz w:val="32"/>
          <w:szCs w:val="32"/>
          <w:rtl/>
        </w:rPr>
        <w:t>"يخطر القاضي المختص وكيل الجمهورية بالطلب قصد تحريك الدعوى العمومية تلقائيا ضد المدين من أجل جنحة عدم دفع النفقة".</w:t>
      </w:r>
    </w:p>
    <w:p w:rsidR="00C20804" w:rsidRPr="00B85CF1" w:rsidRDefault="00C20804" w:rsidP="000E3F28">
      <w:pPr>
        <w:tabs>
          <w:tab w:val="right" w:pos="708"/>
          <w:tab w:val="right" w:pos="992"/>
        </w:tabs>
        <w:bidi/>
        <w:jc w:val="both"/>
        <w:rPr>
          <w:rFonts w:cs="Traditional Arabic"/>
          <w:sz w:val="32"/>
          <w:szCs w:val="32"/>
          <w:rtl/>
        </w:rPr>
      </w:pPr>
      <w:r w:rsidRPr="00B85CF1">
        <w:rPr>
          <w:rFonts w:cs="Traditional Arabic" w:hint="cs"/>
          <w:sz w:val="32"/>
          <w:szCs w:val="32"/>
          <w:rtl/>
        </w:rPr>
        <w:tab/>
      </w:r>
      <w:r w:rsidR="000E3F28" w:rsidRPr="00B85CF1">
        <w:rPr>
          <w:rFonts w:cs="Traditional Arabic" w:hint="cs"/>
          <w:sz w:val="32"/>
          <w:szCs w:val="32"/>
          <w:rtl/>
        </w:rPr>
        <w:t xml:space="preserve">إضافة إلى </w:t>
      </w:r>
      <w:r w:rsidRPr="00B85CF1">
        <w:rPr>
          <w:rFonts w:cs="Traditional Arabic" w:hint="cs"/>
          <w:sz w:val="32"/>
          <w:szCs w:val="32"/>
          <w:rtl/>
        </w:rPr>
        <w:tab/>
        <w:t>تحصيل المستحقات المالية من المدين اختيارا أو جبرا</w:t>
      </w:r>
      <w:r w:rsidR="000E3F28" w:rsidRPr="00B85CF1">
        <w:rPr>
          <w:rFonts w:cs="Traditional Arabic" w:hint="cs"/>
          <w:sz w:val="32"/>
          <w:szCs w:val="32"/>
          <w:rtl/>
        </w:rPr>
        <w:t xml:space="preserve"> </w:t>
      </w:r>
    </w:p>
    <w:p w:rsidR="00C20804" w:rsidRPr="00B85CF1" w:rsidRDefault="00C20804" w:rsidP="00095F45">
      <w:pPr>
        <w:pStyle w:val="Paragraphedeliste"/>
        <w:numPr>
          <w:ilvl w:val="0"/>
          <w:numId w:val="15"/>
        </w:numPr>
        <w:tabs>
          <w:tab w:val="right" w:pos="708"/>
          <w:tab w:val="right" w:pos="992"/>
        </w:tabs>
        <w:bidi/>
        <w:rPr>
          <w:rFonts w:cs="Traditional Arabic"/>
          <w:sz w:val="32"/>
          <w:szCs w:val="32"/>
          <w:rtl/>
        </w:rPr>
      </w:pPr>
      <w:r w:rsidRPr="00B85CF1">
        <w:rPr>
          <w:rFonts w:cs="Traditional Arabic" w:hint="cs"/>
          <w:sz w:val="32"/>
          <w:szCs w:val="32"/>
          <w:rtl/>
        </w:rPr>
        <w:t>تبسيط الإجراءات وتقريبها للدائنين بالنفقة.</w:t>
      </w:r>
    </w:p>
    <w:p w:rsidR="00C20804" w:rsidRPr="00B85CF1" w:rsidRDefault="00C20804" w:rsidP="00C20804">
      <w:pPr>
        <w:tabs>
          <w:tab w:val="right" w:pos="708"/>
          <w:tab w:val="right" w:pos="992"/>
        </w:tabs>
        <w:bidi/>
        <w:jc w:val="both"/>
        <w:rPr>
          <w:rFonts w:cs="Traditional Arabic"/>
          <w:sz w:val="32"/>
          <w:szCs w:val="32"/>
          <w:rtl/>
        </w:rPr>
      </w:pPr>
      <w:r w:rsidRPr="00B85CF1">
        <w:rPr>
          <w:rFonts w:cs="Traditional Arabic" w:hint="cs"/>
          <w:sz w:val="32"/>
          <w:szCs w:val="32"/>
          <w:rtl/>
        </w:rPr>
        <w:t>من أهم ما تضمنه القانون 24-01 هو تبسيط الإجراءات وتقريبها للدائنين بالنفقة، وهي مسألة تظهر في أمور أهمها: تمكين الدائن من التعامل الإلكتروني مع إدارة القضاء، تبسيط ملف طلب النفقة، تقريب العملية للدائن بالنفقة.</w:t>
      </w:r>
    </w:p>
    <w:p w:rsidR="000E3F28" w:rsidRPr="00B85CF1" w:rsidRDefault="000E3F28" w:rsidP="000E3F28">
      <w:pPr>
        <w:tabs>
          <w:tab w:val="right" w:pos="708"/>
          <w:tab w:val="right" w:pos="992"/>
        </w:tabs>
        <w:bidi/>
        <w:jc w:val="both"/>
        <w:rPr>
          <w:rFonts w:cs="Traditional Arabic"/>
          <w:sz w:val="32"/>
          <w:szCs w:val="32"/>
          <w:rtl/>
        </w:rPr>
      </w:pPr>
    </w:p>
    <w:p w:rsidR="000E3F28" w:rsidRPr="00B85CF1" w:rsidRDefault="00B85CF1" w:rsidP="000E3F28">
      <w:pPr>
        <w:tabs>
          <w:tab w:val="right" w:pos="708"/>
          <w:tab w:val="right" w:pos="992"/>
        </w:tabs>
        <w:bidi/>
        <w:jc w:val="both"/>
        <w:rPr>
          <w:rFonts w:cs="Traditional Arabic"/>
          <w:b/>
          <w:bCs/>
          <w:sz w:val="32"/>
          <w:szCs w:val="32"/>
          <w:rtl/>
        </w:rPr>
      </w:pPr>
      <w:r w:rsidRPr="00B85CF1">
        <w:rPr>
          <w:rFonts w:cs="Traditional Arabic" w:hint="cs"/>
          <w:b/>
          <w:bCs/>
          <w:sz w:val="32"/>
          <w:szCs w:val="32"/>
          <w:rtl/>
        </w:rPr>
        <w:t xml:space="preserve">رابعا: </w:t>
      </w:r>
      <w:r w:rsidR="000E3F28" w:rsidRPr="00B85CF1">
        <w:rPr>
          <w:rFonts w:cs="Traditional Arabic" w:hint="cs"/>
          <w:b/>
          <w:bCs/>
          <w:sz w:val="32"/>
          <w:szCs w:val="32"/>
          <w:rtl/>
        </w:rPr>
        <w:t>أهم</w:t>
      </w:r>
      <w:r w:rsidRPr="00B85CF1">
        <w:rPr>
          <w:rFonts w:cs="Traditional Arabic" w:hint="cs"/>
          <w:b/>
          <w:bCs/>
          <w:sz w:val="32"/>
          <w:szCs w:val="32"/>
          <w:rtl/>
        </w:rPr>
        <w:t xml:space="preserve">ية الطرق العلمية في إثبات النسب </w:t>
      </w:r>
      <w:r w:rsidRPr="00B85CF1">
        <w:rPr>
          <w:rFonts w:cs="Traditional Arabic" w:hint="cs"/>
          <w:b/>
          <w:bCs/>
          <w:sz w:val="32"/>
          <w:szCs w:val="32"/>
          <w:rtl/>
        </w:rPr>
        <w:t>(5ن)</w:t>
      </w:r>
    </w:p>
    <w:p w:rsidR="000E3F28" w:rsidRPr="008514AC" w:rsidRDefault="000E3F28" w:rsidP="000E3F28">
      <w:pPr>
        <w:bidi/>
        <w:ind w:firstLine="567"/>
        <w:rPr>
          <w:rFonts w:cs="Traditional Arabic"/>
          <w:sz w:val="32"/>
          <w:szCs w:val="32"/>
          <w:rtl/>
        </w:rPr>
      </w:pPr>
      <w:r w:rsidRPr="008514AC">
        <w:rPr>
          <w:rFonts w:cs="Traditional Arabic" w:hint="cs"/>
          <w:sz w:val="32"/>
          <w:szCs w:val="32"/>
          <w:rtl/>
        </w:rPr>
        <w:t xml:space="preserve">إن اللجوء إلى الطرق العلمية لإثبات النسب في قانون الأسرة الجزائري لا يعتبر استغناء عن </w:t>
      </w:r>
      <w:r>
        <w:rPr>
          <w:rFonts w:cs="Traditional Arabic" w:hint="cs"/>
          <w:sz w:val="32"/>
          <w:szCs w:val="32"/>
          <w:rtl/>
        </w:rPr>
        <w:t xml:space="preserve">اشتراط كونه ناشئا عن زواج شرعيّ، </w:t>
      </w:r>
      <w:r w:rsidRPr="008514AC">
        <w:rPr>
          <w:rFonts w:cs="Traditional Arabic" w:hint="cs"/>
          <w:sz w:val="32"/>
          <w:szCs w:val="32"/>
          <w:rtl/>
        </w:rPr>
        <w:t>وتوضيحه كما يلي:</w:t>
      </w:r>
    </w:p>
    <w:p w:rsidR="000E3F28" w:rsidRPr="008514AC" w:rsidRDefault="000E3F28" w:rsidP="000E3F28">
      <w:pPr>
        <w:numPr>
          <w:ilvl w:val="0"/>
          <w:numId w:val="13"/>
        </w:numPr>
        <w:tabs>
          <w:tab w:val="clear" w:pos="2160"/>
        </w:tabs>
        <w:bidi/>
        <w:ind w:left="0" w:firstLine="567"/>
        <w:rPr>
          <w:rFonts w:cs="Traditional Arabic"/>
          <w:sz w:val="32"/>
          <w:szCs w:val="32"/>
        </w:rPr>
      </w:pPr>
      <w:r w:rsidRPr="008514AC">
        <w:rPr>
          <w:rFonts w:cs="Traditional Arabic" w:hint="cs"/>
          <w:sz w:val="32"/>
          <w:szCs w:val="32"/>
          <w:rtl/>
        </w:rPr>
        <w:t>نص المادة 41 كقاعدة عامة بأنه "ينسب الولد لأبيه متى كان الزواج شرعيا".</w:t>
      </w:r>
    </w:p>
    <w:p w:rsidR="000E3F28" w:rsidRPr="008514AC" w:rsidRDefault="000E3F28" w:rsidP="000E3F28">
      <w:pPr>
        <w:numPr>
          <w:ilvl w:val="0"/>
          <w:numId w:val="13"/>
        </w:numPr>
        <w:tabs>
          <w:tab w:val="clear" w:pos="2160"/>
        </w:tabs>
        <w:bidi/>
        <w:ind w:left="0" w:firstLine="567"/>
        <w:rPr>
          <w:rFonts w:cs="Traditional Arabic"/>
          <w:sz w:val="32"/>
          <w:szCs w:val="32"/>
        </w:rPr>
      </w:pPr>
      <w:r w:rsidRPr="008514AC">
        <w:rPr>
          <w:rFonts w:cs="Traditional Arabic" w:hint="cs"/>
          <w:sz w:val="32"/>
          <w:szCs w:val="32"/>
          <w:rtl/>
        </w:rPr>
        <w:t>منع التبني في نص المادة 46 "يمنع التبني شرعا وقانونا"</w:t>
      </w:r>
    </w:p>
    <w:p w:rsidR="000E3F28" w:rsidRPr="008514AC" w:rsidRDefault="000E3F28" w:rsidP="000E3F28">
      <w:pPr>
        <w:numPr>
          <w:ilvl w:val="0"/>
          <w:numId w:val="13"/>
        </w:numPr>
        <w:tabs>
          <w:tab w:val="clear" w:pos="2160"/>
        </w:tabs>
        <w:bidi/>
        <w:ind w:left="0" w:firstLine="567"/>
        <w:rPr>
          <w:rFonts w:cs="Traditional Arabic"/>
          <w:sz w:val="32"/>
          <w:szCs w:val="32"/>
        </w:rPr>
      </w:pPr>
      <w:r w:rsidRPr="008514AC">
        <w:rPr>
          <w:rFonts w:cs="Traditional Arabic" w:hint="cs"/>
          <w:sz w:val="32"/>
          <w:szCs w:val="32"/>
          <w:rtl/>
        </w:rPr>
        <w:t>إن دور الطرق العلمية قاصر على إثبات النسب البيولوجي.</w:t>
      </w:r>
    </w:p>
    <w:p w:rsidR="000E3F28" w:rsidRPr="00B85CF1" w:rsidRDefault="000E3F28" w:rsidP="000E3F28">
      <w:pPr>
        <w:bidi/>
        <w:ind w:firstLine="567"/>
        <w:rPr>
          <w:rFonts w:cs="Traditional Arabic"/>
          <w:sz w:val="32"/>
          <w:szCs w:val="32"/>
          <w:rtl/>
        </w:rPr>
      </w:pPr>
      <w:r w:rsidRPr="008514AC">
        <w:rPr>
          <w:rFonts w:cs="Traditional Arabic" w:hint="cs"/>
          <w:sz w:val="32"/>
          <w:szCs w:val="32"/>
          <w:rtl/>
        </w:rPr>
        <w:t>إن اللجوء للطرق العلمية لإثبات النسب لا يمكن الاستغناء به عن شرعية العلاقة، وإنما يمكن أن تكون عاملا مساعدا في طرق إثبات النسب بالإقرار أو البينة.</w:t>
      </w:r>
      <w:r w:rsidR="00095F45">
        <w:rPr>
          <w:rFonts w:cs="Traditional Arabic" w:hint="cs"/>
          <w:sz w:val="32"/>
          <w:szCs w:val="32"/>
          <w:rtl/>
        </w:rPr>
        <w:t xml:space="preserve"> أو في حالات الزواج الصحيح حال اختلاط المواليد أو عدم احترام مدة العدة.</w:t>
      </w:r>
    </w:p>
    <w:p w:rsidR="000E3F28" w:rsidRPr="00B85CF1" w:rsidRDefault="000E3F28" w:rsidP="000E3F28">
      <w:pPr>
        <w:tabs>
          <w:tab w:val="right" w:pos="708"/>
          <w:tab w:val="right" w:pos="992"/>
        </w:tabs>
        <w:bidi/>
        <w:jc w:val="both"/>
        <w:rPr>
          <w:rFonts w:cs="Traditional Arabic"/>
          <w:sz w:val="32"/>
          <w:szCs w:val="32"/>
          <w:rtl/>
        </w:rPr>
      </w:pPr>
    </w:p>
    <w:sectPr w:rsidR="000E3F28" w:rsidRPr="00B85CF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2352" w:rsidRDefault="00282352" w:rsidP="00C20804">
      <w:r>
        <w:separator/>
      </w:r>
    </w:p>
  </w:endnote>
  <w:endnote w:type="continuationSeparator" w:id="0">
    <w:p w:rsidR="00282352" w:rsidRDefault="00282352" w:rsidP="00C20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2352" w:rsidRDefault="00282352" w:rsidP="00C20804">
      <w:r>
        <w:separator/>
      </w:r>
    </w:p>
  </w:footnote>
  <w:footnote w:type="continuationSeparator" w:id="0">
    <w:p w:rsidR="00282352" w:rsidRDefault="00282352" w:rsidP="00C208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8B056D"/>
    <w:multiLevelType w:val="hybridMultilevel"/>
    <w:tmpl w:val="3454E128"/>
    <w:lvl w:ilvl="0" w:tplc="019632F4">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40B1898"/>
    <w:multiLevelType w:val="hybridMultilevel"/>
    <w:tmpl w:val="199CEB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CE49FE"/>
    <w:multiLevelType w:val="hybridMultilevel"/>
    <w:tmpl w:val="51FA61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DC7166"/>
    <w:multiLevelType w:val="hybridMultilevel"/>
    <w:tmpl w:val="71F06BD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D4F15ED"/>
    <w:multiLevelType w:val="hybridMultilevel"/>
    <w:tmpl w:val="BF407D02"/>
    <w:lvl w:ilvl="0" w:tplc="040C0001">
      <w:start w:val="1"/>
      <w:numFmt w:val="bullet"/>
      <w:lvlText w:val=""/>
      <w:lvlJc w:val="left"/>
      <w:pPr>
        <w:tabs>
          <w:tab w:val="num" w:pos="720"/>
        </w:tabs>
        <w:ind w:left="720" w:hanging="360"/>
      </w:pPr>
      <w:rPr>
        <w:rFonts w:ascii="Symbol" w:hAnsi="Symbol"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
    <w:nsid w:val="1D7B1C63"/>
    <w:multiLevelType w:val="hybridMultilevel"/>
    <w:tmpl w:val="E2E2B634"/>
    <w:lvl w:ilvl="0" w:tplc="04DCC81E">
      <w:start w:val="1"/>
      <w:numFmt w:val="decimal"/>
      <w:lvlText w:val="%1-"/>
      <w:lvlJc w:val="left"/>
      <w:pPr>
        <w:ind w:left="1570" w:hanging="720"/>
      </w:pPr>
      <w:rPr>
        <w:rFonts w:hint="default"/>
      </w:rPr>
    </w:lvl>
    <w:lvl w:ilvl="1" w:tplc="040C0019" w:tentative="1">
      <w:start w:val="1"/>
      <w:numFmt w:val="lowerLetter"/>
      <w:lvlText w:val="%2."/>
      <w:lvlJc w:val="left"/>
      <w:pPr>
        <w:ind w:left="1930" w:hanging="360"/>
      </w:pPr>
    </w:lvl>
    <w:lvl w:ilvl="2" w:tplc="040C001B" w:tentative="1">
      <w:start w:val="1"/>
      <w:numFmt w:val="lowerRoman"/>
      <w:lvlText w:val="%3."/>
      <w:lvlJc w:val="right"/>
      <w:pPr>
        <w:ind w:left="2650" w:hanging="180"/>
      </w:pPr>
    </w:lvl>
    <w:lvl w:ilvl="3" w:tplc="040C000F" w:tentative="1">
      <w:start w:val="1"/>
      <w:numFmt w:val="decimal"/>
      <w:lvlText w:val="%4."/>
      <w:lvlJc w:val="left"/>
      <w:pPr>
        <w:ind w:left="3370" w:hanging="360"/>
      </w:pPr>
    </w:lvl>
    <w:lvl w:ilvl="4" w:tplc="040C0019" w:tentative="1">
      <w:start w:val="1"/>
      <w:numFmt w:val="lowerLetter"/>
      <w:lvlText w:val="%5."/>
      <w:lvlJc w:val="left"/>
      <w:pPr>
        <w:ind w:left="4090" w:hanging="360"/>
      </w:pPr>
    </w:lvl>
    <w:lvl w:ilvl="5" w:tplc="040C001B" w:tentative="1">
      <w:start w:val="1"/>
      <w:numFmt w:val="lowerRoman"/>
      <w:lvlText w:val="%6."/>
      <w:lvlJc w:val="right"/>
      <w:pPr>
        <w:ind w:left="4810" w:hanging="180"/>
      </w:pPr>
    </w:lvl>
    <w:lvl w:ilvl="6" w:tplc="040C000F" w:tentative="1">
      <w:start w:val="1"/>
      <w:numFmt w:val="decimal"/>
      <w:lvlText w:val="%7."/>
      <w:lvlJc w:val="left"/>
      <w:pPr>
        <w:ind w:left="5530" w:hanging="360"/>
      </w:pPr>
    </w:lvl>
    <w:lvl w:ilvl="7" w:tplc="040C0019" w:tentative="1">
      <w:start w:val="1"/>
      <w:numFmt w:val="lowerLetter"/>
      <w:lvlText w:val="%8."/>
      <w:lvlJc w:val="left"/>
      <w:pPr>
        <w:ind w:left="6250" w:hanging="360"/>
      </w:pPr>
    </w:lvl>
    <w:lvl w:ilvl="8" w:tplc="040C001B" w:tentative="1">
      <w:start w:val="1"/>
      <w:numFmt w:val="lowerRoman"/>
      <w:lvlText w:val="%9."/>
      <w:lvlJc w:val="right"/>
      <w:pPr>
        <w:ind w:left="6970" w:hanging="180"/>
      </w:pPr>
    </w:lvl>
  </w:abstractNum>
  <w:abstractNum w:abstractNumId="6">
    <w:nsid w:val="32B50630"/>
    <w:multiLevelType w:val="hybridMultilevel"/>
    <w:tmpl w:val="DE4CA94C"/>
    <w:lvl w:ilvl="0" w:tplc="630C3C54">
      <w:start w:val="1"/>
      <w:numFmt w:val="arabicAlpha"/>
      <w:lvlText w:val="%1-"/>
      <w:lvlJc w:val="left"/>
      <w:pPr>
        <w:ind w:left="2290" w:hanging="720"/>
      </w:pPr>
      <w:rPr>
        <w:rFonts w:hint="default"/>
      </w:rPr>
    </w:lvl>
    <w:lvl w:ilvl="1" w:tplc="040C0019" w:tentative="1">
      <w:start w:val="1"/>
      <w:numFmt w:val="lowerLetter"/>
      <w:lvlText w:val="%2."/>
      <w:lvlJc w:val="left"/>
      <w:pPr>
        <w:ind w:left="2650" w:hanging="360"/>
      </w:pPr>
    </w:lvl>
    <w:lvl w:ilvl="2" w:tplc="040C001B" w:tentative="1">
      <w:start w:val="1"/>
      <w:numFmt w:val="lowerRoman"/>
      <w:lvlText w:val="%3."/>
      <w:lvlJc w:val="right"/>
      <w:pPr>
        <w:ind w:left="3370" w:hanging="180"/>
      </w:pPr>
    </w:lvl>
    <w:lvl w:ilvl="3" w:tplc="040C000F" w:tentative="1">
      <w:start w:val="1"/>
      <w:numFmt w:val="decimal"/>
      <w:lvlText w:val="%4."/>
      <w:lvlJc w:val="left"/>
      <w:pPr>
        <w:ind w:left="4090" w:hanging="360"/>
      </w:pPr>
    </w:lvl>
    <w:lvl w:ilvl="4" w:tplc="040C0019" w:tentative="1">
      <w:start w:val="1"/>
      <w:numFmt w:val="lowerLetter"/>
      <w:lvlText w:val="%5."/>
      <w:lvlJc w:val="left"/>
      <w:pPr>
        <w:ind w:left="4810" w:hanging="360"/>
      </w:pPr>
    </w:lvl>
    <w:lvl w:ilvl="5" w:tplc="040C001B" w:tentative="1">
      <w:start w:val="1"/>
      <w:numFmt w:val="lowerRoman"/>
      <w:lvlText w:val="%6."/>
      <w:lvlJc w:val="right"/>
      <w:pPr>
        <w:ind w:left="5530" w:hanging="180"/>
      </w:pPr>
    </w:lvl>
    <w:lvl w:ilvl="6" w:tplc="040C000F" w:tentative="1">
      <w:start w:val="1"/>
      <w:numFmt w:val="decimal"/>
      <w:lvlText w:val="%7."/>
      <w:lvlJc w:val="left"/>
      <w:pPr>
        <w:ind w:left="6250" w:hanging="360"/>
      </w:pPr>
    </w:lvl>
    <w:lvl w:ilvl="7" w:tplc="040C0019" w:tentative="1">
      <w:start w:val="1"/>
      <w:numFmt w:val="lowerLetter"/>
      <w:lvlText w:val="%8."/>
      <w:lvlJc w:val="left"/>
      <w:pPr>
        <w:ind w:left="6970" w:hanging="360"/>
      </w:pPr>
    </w:lvl>
    <w:lvl w:ilvl="8" w:tplc="040C001B" w:tentative="1">
      <w:start w:val="1"/>
      <w:numFmt w:val="lowerRoman"/>
      <w:lvlText w:val="%9."/>
      <w:lvlJc w:val="right"/>
      <w:pPr>
        <w:ind w:left="7690" w:hanging="180"/>
      </w:pPr>
    </w:lvl>
  </w:abstractNum>
  <w:abstractNum w:abstractNumId="7">
    <w:nsid w:val="3CC51B4D"/>
    <w:multiLevelType w:val="hybridMultilevel"/>
    <w:tmpl w:val="3B9AF1AC"/>
    <w:lvl w:ilvl="0" w:tplc="040C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8">
    <w:nsid w:val="403A34A6"/>
    <w:multiLevelType w:val="hybridMultilevel"/>
    <w:tmpl w:val="952C4E9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53BF0868"/>
    <w:multiLevelType w:val="hybridMultilevel"/>
    <w:tmpl w:val="794489A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nsid w:val="61F53233"/>
    <w:multiLevelType w:val="hybridMultilevel"/>
    <w:tmpl w:val="3B78EC5C"/>
    <w:lvl w:ilvl="0" w:tplc="040C0001">
      <w:start w:val="1"/>
      <w:numFmt w:val="bullet"/>
      <w:lvlText w:val=""/>
      <w:lvlJc w:val="left"/>
      <w:pPr>
        <w:ind w:left="3370" w:hanging="360"/>
      </w:pPr>
      <w:rPr>
        <w:rFonts w:ascii="Symbol" w:hAnsi="Symbol" w:hint="default"/>
      </w:rPr>
    </w:lvl>
    <w:lvl w:ilvl="1" w:tplc="040C0003" w:tentative="1">
      <w:start w:val="1"/>
      <w:numFmt w:val="bullet"/>
      <w:lvlText w:val="o"/>
      <w:lvlJc w:val="left"/>
      <w:pPr>
        <w:ind w:left="4090" w:hanging="360"/>
      </w:pPr>
      <w:rPr>
        <w:rFonts w:ascii="Courier New" w:hAnsi="Courier New" w:cs="Courier New" w:hint="default"/>
      </w:rPr>
    </w:lvl>
    <w:lvl w:ilvl="2" w:tplc="040C0005" w:tentative="1">
      <w:start w:val="1"/>
      <w:numFmt w:val="bullet"/>
      <w:lvlText w:val=""/>
      <w:lvlJc w:val="left"/>
      <w:pPr>
        <w:ind w:left="4810" w:hanging="360"/>
      </w:pPr>
      <w:rPr>
        <w:rFonts w:ascii="Wingdings" w:hAnsi="Wingdings" w:hint="default"/>
      </w:rPr>
    </w:lvl>
    <w:lvl w:ilvl="3" w:tplc="040C0001" w:tentative="1">
      <w:start w:val="1"/>
      <w:numFmt w:val="bullet"/>
      <w:lvlText w:val=""/>
      <w:lvlJc w:val="left"/>
      <w:pPr>
        <w:ind w:left="5530" w:hanging="360"/>
      </w:pPr>
      <w:rPr>
        <w:rFonts w:ascii="Symbol" w:hAnsi="Symbol" w:hint="default"/>
      </w:rPr>
    </w:lvl>
    <w:lvl w:ilvl="4" w:tplc="040C0003" w:tentative="1">
      <w:start w:val="1"/>
      <w:numFmt w:val="bullet"/>
      <w:lvlText w:val="o"/>
      <w:lvlJc w:val="left"/>
      <w:pPr>
        <w:ind w:left="6250" w:hanging="360"/>
      </w:pPr>
      <w:rPr>
        <w:rFonts w:ascii="Courier New" w:hAnsi="Courier New" w:cs="Courier New" w:hint="default"/>
      </w:rPr>
    </w:lvl>
    <w:lvl w:ilvl="5" w:tplc="040C0005" w:tentative="1">
      <w:start w:val="1"/>
      <w:numFmt w:val="bullet"/>
      <w:lvlText w:val=""/>
      <w:lvlJc w:val="left"/>
      <w:pPr>
        <w:ind w:left="6970" w:hanging="360"/>
      </w:pPr>
      <w:rPr>
        <w:rFonts w:ascii="Wingdings" w:hAnsi="Wingdings" w:hint="default"/>
      </w:rPr>
    </w:lvl>
    <w:lvl w:ilvl="6" w:tplc="040C0001" w:tentative="1">
      <w:start w:val="1"/>
      <w:numFmt w:val="bullet"/>
      <w:lvlText w:val=""/>
      <w:lvlJc w:val="left"/>
      <w:pPr>
        <w:ind w:left="7690" w:hanging="360"/>
      </w:pPr>
      <w:rPr>
        <w:rFonts w:ascii="Symbol" w:hAnsi="Symbol" w:hint="default"/>
      </w:rPr>
    </w:lvl>
    <w:lvl w:ilvl="7" w:tplc="040C0003" w:tentative="1">
      <w:start w:val="1"/>
      <w:numFmt w:val="bullet"/>
      <w:lvlText w:val="o"/>
      <w:lvlJc w:val="left"/>
      <w:pPr>
        <w:ind w:left="8410" w:hanging="360"/>
      </w:pPr>
      <w:rPr>
        <w:rFonts w:ascii="Courier New" w:hAnsi="Courier New" w:cs="Courier New" w:hint="default"/>
      </w:rPr>
    </w:lvl>
    <w:lvl w:ilvl="8" w:tplc="040C0005" w:tentative="1">
      <w:start w:val="1"/>
      <w:numFmt w:val="bullet"/>
      <w:lvlText w:val=""/>
      <w:lvlJc w:val="left"/>
      <w:pPr>
        <w:ind w:left="9130" w:hanging="360"/>
      </w:pPr>
      <w:rPr>
        <w:rFonts w:ascii="Wingdings" w:hAnsi="Wingdings" w:hint="default"/>
      </w:rPr>
    </w:lvl>
  </w:abstractNum>
  <w:abstractNum w:abstractNumId="11">
    <w:nsid w:val="6954029E"/>
    <w:multiLevelType w:val="hybridMultilevel"/>
    <w:tmpl w:val="500C424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nsid w:val="763655C3"/>
    <w:multiLevelType w:val="hybridMultilevel"/>
    <w:tmpl w:val="45181702"/>
    <w:lvl w:ilvl="0" w:tplc="8B6290C4">
      <w:start w:val="1"/>
      <w:numFmt w:val="arabicAlpha"/>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7C6E5BEC"/>
    <w:multiLevelType w:val="hybridMultilevel"/>
    <w:tmpl w:val="197AD28E"/>
    <w:lvl w:ilvl="0" w:tplc="C074C550">
      <w:start w:val="2"/>
      <w:numFmt w:val="bullet"/>
      <w:lvlText w:val="-"/>
      <w:lvlJc w:val="left"/>
      <w:pPr>
        <w:ind w:left="2650" w:hanging="360"/>
      </w:pPr>
      <w:rPr>
        <w:rFonts w:ascii="Traditional Arabic" w:eastAsiaTheme="minorHAnsi" w:hAnsi="Traditional Arabic" w:cs="Traditional Arabic" w:hint="default"/>
      </w:rPr>
    </w:lvl>
    <w:lvl w:ilvl="1" w:tplc="040C0003" w:tentative="1">
      <w:start w:val="1"/>
      <w:numFmt w:val="bullet"/>
      <w:lvlText w:val="o"/>
      <w:lvlJc w:val="left"/>
      <w:pPr>
        <w:ind w:left="3370" w:hanging="360"/>
      </w:pPr>
      <w:rPr>
        <w:rFonts w:ascii="Courier New" w:hAnsi="Courier New" w:cs="Courier New" w:hint="default"/>
      </w:rPr>
    </w:lvl>
    <w:lvl w:ilvl="2" w:tplc="040C0005" w:tentative="1">
      <w:start w:val="1"/>
      <w:numFmt w:val="bullet"/>
      <w:lvlText w:val=""/>
      <w:lvlJc w:val="left"/>
      <w:pPr>
        <w:ind w:left="4090" w:hanging="360"/>
      </w:pPr>
      <w:rPr>
        <w:rFonts w:ascii="Wingdings" w:hAnsi="Wingdings" w:hint="default"/>
      </w:rPr>
    </w:lvl>
    <w:lvl w:ilvl="3" w:tplc="040C0001" w:tentative="1">
      <w:start w:val="1"/>
      <w:numFmt w:val="bullet"/>
      <w:lvlText w:val=""/>
      <w:lvlJc w:val="left"/>
      <w:pPr>
        <w:ind w:left="4810" w:hanging="360"/>
      </w:pPr>
      <w:rPr>
        <w:rFonts w:ascii="Symbol" w:hAnsi="Symbol" w:hint="default"/>
      </w:rPr>
    </w:lvl>
    <w:lvl w:ilvl="4" w:tplc="040C0003" w:tentative="1">
      <w:start w:val="1"/>
      <w:numFmt w:val="bullet"/>
      <w:lvlText w:val="o"/>
      <w:lvlJc w:val="left"/>
      <w:pPr>
        <w:ind w:left="5530" w:hanging="360"/>
      </w:pPr>
      <w:rPr>
        <w:rFonts w:ascii="Courier New" w:hAnsi="Courier New" w:cs="Courier New" w:hint="default"/>
      </w:rPr>
    </w:lvl>
    <w:lvl w:ilvl="5" w:tplc="040C0005" w:tentative="1">
      <w:start w:val="1"/>
      <w:numFmt w:val="bullet"/>
      <w:lvlText w:val=""/>
      <w:lvlJc w:val="left"/>
      <w:pPr>
        <w:ind w:left="6250" w:hanging="360"/>
      </w:pPr>
      <w:rPr>
        <w:rFonts w:ascii="Wingdings" w:hAnsi="Wingdings" w:hint="default"/>
      </w:rPr>
    </w:lvl>
    <w:lvl w:ilvl="6" w:tplc="040C0001" w:tentative="1">
      <w:start w:val="1"/>
      <w:numFmt w:val="bullet"/>
      <w:lvlText w:val=""/>
      <w:lvlJc w:val="left"/>
      <w:pPr>
        <w:ind w:left="6970" w:hanging="360"/>
      </w:pPr>
      <w:rPr>
        <w:rFonts w:ascii="Symbol" w:hAnsi="Symbol" w:hint="default"/>
      </w:rPr>
    </w:lvl>
    <w:lvl w:ilvl="7" w:tplc="040C0003" w:tentative="1">
      <w:start w:val="1"/>
      <w:numFmt w:val="bullet"/>
      <w:lvlText w:val="o"/>
      <w:lvlJc w:val="left"/>
      <w:pPr>
        <w:ind w:left="7690" w:hanging="360"/>
      </w:pPr>
      <w:rPr>
        <w:rFonts w:ascii="Courier New" w:hAnsi="Courier New" w:cs="Courier New" w:hint="default"/>
      </w:rPr>
    </w:lvl>
    <w:lvl w:ilvl="8" w:tplc="040C0005" w:tentative="1">
      <w:start w:val="1"/>
      <w:numFmt w:val="bullet"/>
      <w:lvlText w:val=""/>
      <w:lvlJc w:val="left"/>
      <w:pPr>
        <w:ind w:left="8410" w:hanging="360"/>
      </w:pPr>
      <w:rPr>
        <w:rFonts w:ascii="Wingdings" w:hAnsi="Wingdings" w:hint="default"/>
      </w:rPr>
    </w:lvl>
  </w:abstractNum>
  <w:abstractNum w:abstractNumId="14">
    <w:nsid w:val="7D6A2844"/>
    <w:multiLevelType w:val="hybridMultilevel"/>
    <w:tmpl w:val="43CA1A1C"/>
    <w:lvl w:ilvl="0" w:tplc="34FABF24">
      <w:start w:val="1"/>
      <w:numFmt w:val="arabicAlpha"/>
      <w:lvlText w:val="%1-"/>
      <w:lvlJc w:val="left"/>
      <w:pPr>
        <w:ind w:left="2290" w:hanging="720"/>
      </w:pPr>
      <w:rPr>
        <w:rFonts w:hint="default"/>
      </w:rPr>
    </w:lvl>
    <w:lvl w:ilvl="1" w:tplc="040C0019" w:tentative="1">
      <w:start w:val="1"/>
      <w:numFmt w:val="lowerLetter"/>
      <w:lvlText w:val="%2."/>
      <w:lvlJc w:val="left"/>
      <w:pPr>
        <w:ind w:left="2650" w:hanging="360"/>
      </w:pPr>
    </w:lvl>
    <w:lvl w:ilvl="2" w:tplc="040C001B" w:tentative="1">
      <w:start w:val="1"/>
      <w:numFmt w:val="lowerRoman"/>
      <w:lvlText w:val="%3."/>
      <w:lvlJc w:val="right"/>
      <w:pPr>
        <w:ind w:left="3370" w:hanging="180"/>
      </w:pPr>
    </w:lvl>
    <w:lvl w:ilvl="3" w:tplc="040C000F" w:tentative="1">
      <w:start w:val="1"/>
      <w:numFmt w:val="decimal"/>
      <w:lvlText w:val="%4."/>
      <w:lvlJc w:val="left"/>
      <w:pPr>
        <w:ind w:left="4090" w:hanging="360"/>
      </w:pPr>
    </w:lvl>
    <w:lvl w:ilvl="4" w:tplc="040C0019" w:tentative="1">
      <w:start w:val="1"/>
      <w:numFmt w:val="lowerLetter"/>
      <w:lvlText w:val="%5."/>
      <w:lvlJc w:val="left"/>
      <w:pPr>
        <w:ind w:left="4810" w:hanging="360"/>
      </w:pPr>
    </w:lvl>
    <w:lvl w:ilvl="5" w:tplc="040C001B" w:tentative="1">
      <w:start w:val="1"/>
      <w:numFmt w:val="lowerRoman"/>
      <w:lvlText w:val="%6."/>
      <w:lvlJc w:val="right"/>
      <w:pPr>
        <w:ind w:left="5530" w:hanging="180"/>
      </w:pPr>
    </w:lvl>
    <w:lvl w:ilvl="6" w:tplc="040C000F" w:tentative="1">
      <w:start w:val="1"/>
      <w:numFmt w:val="decimal"/>
      <w:lvlText w:val="%7."/>
      <w:lvlJc w:val="left"/>
      <w:pPr>
        <w:ind w:left="6250" w:hanging="360"/>
      </w:pPr>
    </w:lvl>
    <w:lvl w:ilvl="7" w:tplc="040C0019" w:tentative="1">
      <w:start w:val="1"/>
      <w:numFmt w:val="lowerLetter"/>
      <w:lvlText w:val="%8."/>
      <w:lvlJc w:val="left"/>
      <w:pPr>
        <w:ind w:left="6970" w:hanging="360"/>
      </w:pPr>
    </w:lvl>
    <w:lvl w:ilvl="8" w:tplc="040C001B" w:tentative="1">
      <w:start w:val="1"/>
      <w:numFmt w:val="lowerRoman"/>
      <w:lvlText w:val="%9."/>
      <w:lvlJc w:val="right"/>
      <w:pPr>
        <w:ind w:left="7690" w:hanging="180"/>
      </w:pPr>
    </w:lvl>
  </w:abstractNum>
  <w:num w:numId="1">
    <w:abstractNumId w:val="9"/>
  </w:num>
  <w:num w:numId="2">
    <w:abstractNumId w:val="4"/>
  </w:num>
  <w:num w:numId="3">
    <w:abstractNumId w:val="11"/>
  </w:num>
  <w:num w:numId="4">
    <w:abstractNumId w:val="0"/>
  </w:num>
  <w:num w:numId="5">
    <w:abstractNumId w:val="8"/>
  </w:num>
  <w:num w:numId="6">
    <w:abstractNumId w:val="5"/>
  </w:num>
  <w:num w:numId="7">
    <w:abstractNumId w:val="14"/>
  </w:num>
  <w:num w:numId="8">
    <w:abstractNumId w:val="13"/>
  </w:num>
  <w:num w:numId="9">
    <w:abstractNumId w:val="6"/>
  </w:num>
  <w:num w:numId="10">
    <w:abstractNumId w:val="10"/>
  </w:num>
  <w:num w:numId="11">
    <w:abstractNumId w:val="12"/>
  </w:num>
  <w:num w:numId="12">
    <w:abstractNumId w:val="3"/>
  </w:num>
  <w:num w:numId="13">
    <w:abstractNumId w:val="7"/>
  </w:num>
  <w:num w:numId="14">
    <w:abstractNumId w:val="2"/>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5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576"/>
    <w:rsid w:val="00095F45"/>
    <w:rsid w:val="000A5B6F"/>
    <w:rsid w:val="000E3F28"/>
    <w:rsid w:val="00282352"/>
    <w:rsid w:val="00293C60"/>
    <w:rsid w:val="00B85CF1"/>
    <w:rsid w:val="00C20804"/>
    <w:rsid w:val="00C51400"/>
    <w:rsid w:val="00EC2576"/>
    <w:rsid w:val="00F771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0A3FE7-3F74-4EDC-A6CF-FC550A518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2576"/>
    <w:pPr>
      <w:spacing w:after="0" w:line="240" w:lineRule="auto"/>
    </w:pPr>
    <w:rPr>
      <w:rFonts w:ascii="Times New Roman" w:eastAsia="Times New Roman" w:hAnsi="Times New Roman" w:cs="Times New Roman"/>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C2576"/>
    <w:pPr>
      <w:ind w:left="720"/>
      <w:contextualSpacing/>
    </w:pPr>
  </w:style>
  <w:style w:type="paragraph" w:styleId="Corpsdetexte">
    <w:name w:val="Body Text"/>
    <w:basedOn w:val="Normal"/>
    <w:link w:val="CorpsdetexteCar"/>
    <w:rsid w:val="00EC2576"/>
    <w:pPr>
      <w:bidi/>
    </w:pPr>
    <w:rPr>
      <w:rFonts w:cs="Simplified Arabic"/>
      <w:sz w:val="32"/>
      <w:szCs w:val="32"/>
    </w:rPr>
  </w:style>
  <w:style w:type="character" w:customStyle="1" w:styleId="CorpsdetexteCar">
    <w:name w:val="Corps de texte Car"/>
    <w:basedOn w:val="Policepardfaut"/>
    <w:link w:val="Corpsdetexte"/>
    <w:rsid w:val="00EC2576"/>
    <w:rPr>
      <w:rFonts w:ascii="Times New Roman" w:eastAsia="Times New Roman" w:hAnsi="Times New Roman" w:cs="Simplified Arabic"/>
      <w:sz w:val="32"/>
      <w:szCs w:val="32"/>
      <w:lang w:val="fr-FR" w:eastAsia="fr-FR"/>
    </w:rPr>
  </w:style>
  <w:style w:type="paragraph" w:styleId="Notedebasdepage">
    <w:name w:val="footnote text"/>
    <w:basedOn w:val="Normal"/>
    <w:link w:val="NotedebasdepageCar"/>
    <w:uiPriority w:val="99"/>
    <w:semiHidden/>
    <w:unhideWhenUsed/>
    <w:rsid w:val="00C20804"/>
    <w:rPr>
      <w:rFonts w:asciiTheme="minorHAnsi" w:eastAsiaTheme="minorHAnsi" w:hAnsiTheme="minorHAnsi" w:cstheme="minorBidi"/>
      <w:sz w:val="20"/>
      <w:szCs w:val="20"/>
      <w:lang w:val="en-US" w:eastAsia="en-US"/>
    </w:rPr>
  </w:style>
  <w:style w:type="character" w:customStyle="1" w:styleId="NotedebasdepageCar">
    <w:name w:val="Note de bas de page Car"/>
    <w:basedOn w:val="Policepardfaut"/>
    <w:link w:val="Notedebasdepage"/>
    <w:uiPriority w:val="99"/>
    <w:semiHidden/>
    <w:rsid w:val="00C20804"/>
    <w:rPr>
      <w:sz w:val="20"/>
      <w:szCs w:val="20"/>
    </w:rPr>
  </w:style>
  <w:style w:type="character" w:styleId="Appelnotedebasdep">
    <w:name w:val="footnote reference"/>
    <w:basedOn w:val="Policepardfaut"/>
    <w:uiPriority w:val="99"/>
    <w:semiHidden/>
    <w:unhideWhenUsed/>
    <w:rsid w:val="00C2080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3</Pages>
  <Words>760</Words>
  <Characters>4338</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dc:creator>
  <cp:keywords/>
  <dc:description/>
  <cp:lastModifiedBy>EH</cp:lastModifiedBy>
  <cp:revision>2</cp:revision>
  <dcterms:created xsi:type="dcterms:W3CDTF">2026-01-29T10:21:00Z</dcterms:created>
  <dcterms:modified xsi:type="dcterms:W3CDTF">2026-01-29T11:32:00Z</dcterms:modified>
</cp:coreProperties>
</file>