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9FF" w:rsidRDefault="00F869FF" w:rsidP="008B156E">
      <w:pPr>
        <w:bidi/>
        <w:rPr>
          <w:rFonts w:hint="cs"/>
          <w:rtl/>
          <w:lang w:bidi="ar-DZ"/>
        </w:rPr>
      </w:pPr>
    </w:p>
    <w:p w:rsidR="008B156E" w:rsidRPr="00326241" w:rsidRDefault="00590696" w:rsidP="008B156E">
      <w:pPr>
        <w:bidi/>
        <w:spacing w:after="0"/>
        <w:jc w:val="center"/>
        <w:rPr>
          <w:rFonts w:ascii="Times New Roman" w:eastAsia="Times New Roman" w:hAnsi="Times New Roman" w:cs="Simplified Arabic"/>
          <w:color w:val="1F1F1F"/>
          <w:sz w:val="28"/>
          <w:szCs w:val="28"/>
          <w:lang w:eastAsia="fr-FR"/>
        </w:rPr>
      </w:pPr>
      <w:proofErr w:type="gramStart"/>
      <w:r>
        <w:rPr>
          <w:rFonts w:ascii="Times New Roman" w:eastAsia="Times New Roman" w:hAnsi="Times New Roman" w:cs="Simplified Arabic" w:hint="cs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>المحاضرة</w:t>
      </w:r>
      <w:proofErr w:type="gramEnd"/>
      <w:r>
        <w:rPr>
          <w:rFonts w:ascii="Times New Roman" w:eastAsia="Times New Roman" w:hAnsi="Times New Roman" w:cs="Simplified Arabic" w:hint="cs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 xml:space="preserve"> </w:t>
      </w:r>
      <w:proofErr w:type="spellStart"/>
      <w:r>
        <w:rPr>
          <w:rFonts w:ascii="Times New Roman" w:eastAsia="Times New Roman" w:hAnsi="Times New Roman" w:cs="Simplified Arabic" w:hint="cs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>الثا</w:t>
      </w:r>
      <w:proofErr w:type="spellEnd"/>
      <w:r>
        <w:rPr>
          <w:rFonts w:ascii="Times New Roman" w:eastAsia="Times New Roman" w:hAnsi="Times New Roman" w:cs="Simplified Arabic" w:hint="cs"/>
          <w:b/>
          <w:bCs/>
          <w:color w:val="1F1F1F"/>
          <w:sz w:val="28"/>
          <w:szCs w:val="28"/>
          <w:bdr w:val="none" w:sz="0" w:space="0" w:color="auto" w:frame="1"/>
          <w:rtl/>
          <w:lang w:eastAsia="fr-FR" w:bidi="ar-DZ"/>
        </w:rPr>
        <w:t>لثة</w:t>
      </w:r>
      <w:r w:rsidR="008B156E">
        <w:rPr>
          <w:rFonts w:ascii="Times New Roman" w:eastAsia="Times New Roman" w:hAnsi="Times New Roman" w:cs="Simplified Arabic" w:hint="cs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>:</w:t>
      </w:r>
      <w:r w:rsidR="008B156E"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>الخصائص البنيوية لمجال السياسة</w:t>
      </w:r>
      <w:r w:rsidR="008B156E">
        <w:rPr>
          <w:rFonts w:ascii="Times New Roman" w:eastAsia="Times New Roman" w:hAnsi="Times New Roman" w:cs="Simplified Arabic" w:hint="cs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 xml:space="preserve"> وعلاقتها بالخطاب السياسي</w:t>
      </w:r>
    </w:p>
    <w:p w:rsidR="008B156E" w:rsidRPr="00326241" w:rsidRDefault="00114B62" w:rsidP="008B156E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لتوضيح تبعات هذا </w:t>
      </w:r>
      <w:proofErr w:type="spellStart"/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ال</w:t>
      </w:r>
      <w:proofErr w:type="spellEnd"/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 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 w:bidi="ar-DZ"/>
        </w:rPr>
        <w:t>وصف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سنحدد الخصائص ذات </w:t>
      </w:r>
      <w:r w:rsidR="00590696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الصلة بالسياقات السياسية التي ت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ميز الخطاب السياسي عن غيره،بدءا من الفئات الأكثر تجريد وصولا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إلى السياقات المحددة:</w:t>
      </w:r>
    </w:p>
    <w:p w:rsidR="008B156E" w:rsidRPr="00326241" w:rsidRDefault="00114B62" w:rsidP="008B156E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ي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عتبر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مجال السي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اسة الفئة الأعلى والأكثر شمولا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إذ يضم مختل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ف جوانب السياسة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،حيث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يلعب هذا التصنيف 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على غرار مجالات ال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تعليم والصحة والقانون والأعمال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دور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جوهري في التعريف ال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رائج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للأفعال والخطابات السياسية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،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قد يستخدم أيضا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بشكل سلبي للحكم على الممارس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ات غير المشروعة في مجالات أخرى؛كأن يحظر البحث أو ي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ثار حوله إشكال لكو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نه خرج من نطاق العلوم ليدخل في مجال السياسة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،حيث 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يفترض أن ال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فاعلين الاجتماعيين يدركون عموما المجال الذي ينشطون فيه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وقد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تكون هذه التصنيفات أكثر عمومية 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كالمجال الخاص مقابل العا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م أو الأعمال مقابل المتعة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أو الشخصي مقابل الاجتماعي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.</w:t>
      </w:r>
    </w:p>
    <w:p w:rsidR="008B156E" w:rsidRPr="00326241" w:rsidRDefault="008B156E" w:rsidP="008B156E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>- المجال الاجتماعي مقابل المجال الخاص</w:t>
      </w:r>
    </w:p>
    <w:p w:rsidR="008B156E" w:rsidRPr="00326241" w:rsidRDefault="008B156E" w:rsidP="008B156E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يبرز التمايز بين المجالين الاجتماعي والخاص كأحد الأطر المرجعية الكبرى في تصنيف </w:t>
      </w:r>
      <w:r w:rsidR="00114B62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النشاط الإنساني،</w:t>
      </w:r>
      <w:r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حيث يساهم هذا التقسيم في تحديد طبيعة التفاعلات السياسية وت</w:t>
      </w:r>
      <w:r w:rsidR="007D5DAD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مييزها عن الأنشطة الشخصية ال</w:t>
      </w:r>
      <w:r w:rsidR="007D5DAD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بحتة</w:t>
      </w:r>
      <w:r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.</w:t>
      </w:r>
    </w:p>
    <w:p w:rsidR="008B156E" w:rsidRPr="00326241" w:rsidRDefault="008B156E" w:rsidP="008B156E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 xml:space="preserve">- </w:t>
      </w:r>
      <w:proofErr w:type="gramStart"/>
      <w:r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>الأنظمة</w:t>
      </w:r>
      <w:proofErr w:type="gramEnd"/>
      <w:r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 xml:space="preserve"> السياسية</w:t>
      </w:r>
    </w:p>
    <w:p w:rsidR="008B156E" w:rsidRPr="00326241" w:rsidRDefault="007D5DAD" w:rsidP="008B156E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ت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عتبر 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هذه الأنظمة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من أكثر التصنيفات البديهية  في حقل السياسة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،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إذ تصنف الشيوعية والديكتاتورية والديمقراطية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والفاشية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والد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يمقراطية الاجتماعية بوصفها أنظمة سياسية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نموذجية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،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تستخدم في توصيف الدول والقوميات والأحزاب والسياسيين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والأفعال السياسية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،حيث ي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فهم من هذه الأنظمة عادة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أ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نها تشير إلى آليات تنظيم السلطة وتوزيعها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ومبادئ صنع القرار.</w:t>
      </w:r>
    </w:p>
    <w:p w:rsidR="008B156E" w:rsidRPr="00326241" w:rsidRDefault="008B156E" w:rsidP="008B156E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 xml:space="preserve">- </w:t>
      </w:r>
      <w:proofErr w:type="gramStart"/>
      <w:r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>القيم</w:t>
      </w:r>
      <w:proofErr w:type="gramEnd"/>
      <w:r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 xml:space="preserve"> السياسية</w:t>
      </w:r>
    </w:p>
    <w:p w:rsidR="008B156E" w:rsidRPr="00326241" w:rsidRDefault="008B156E" w:rsidP="008B156E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على المستوى الأكثر عم</w:t>
      </w:r>
      <w:r w:rsidR="007D5DAD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ومية وتجريد</w:t>
      </w:r>
      <w:r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تمثل القيم الثقافية المشت</w:t>
      </w:r>
      <w:r w:rsidR="007D5DAD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ركة سمة مميزة للأنظمة السياسية</w:t>
      </w:r>
      <w:r w:rsidR="007D5DAD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،</w:t>
      </w:r>
      <w:r w:rsidR="007D5DAD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فالحرية</w:t>
      </w:r>
      <w:r w:rsidR="007D5DAD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 w:rsidR="007D5DAD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على سبيل المثال</w:t>
      </w:r>
      <w:r w:rsidR="007D5DAD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ليست مجرد ع</w:t>
      </w:r>
      <w:r w:rsidR="007D5DAD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لاقة سياسية بل هي قيمة أساسية تنظم ال</w:t>
      </w:r>
      <w:r w:rsidR="007D5DAD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إ</w:t>
      </w:r>
      <w:r w:rsidR="007D5DAD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يديولوجيات والمواقف السياسية</w:t>
      </w:r>
      <w:r w:rsidR="007D5DAD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،</w:t>
      </w:r>
      <w:r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ينطبق ذلك على </w:t>
      </w:r>
      <w:r w:rsidR="007D5DAD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قيم التضامن والمساواة والتسامح</w:t>
      </w:r>
      <w:r w:rsidR="007D5DAD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 w:rsidR="007D5DAD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حيث تعرف الجماعات ال</w:t>
      </w:r>
      <w:r w:rsidR="007D5DAD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إ</w:t>
      </w:r>
      <w:r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يديولوجي</w:t>
      </w:r>
      <w:r w:rsidR="007D5DAD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ة نفسها وأهدافها انطلاقا من قيمها المفضلة</w:t>
      </w:r>
      <w:r w:rsidR="007D5DAD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،</w:t>
      </w:r>
      <w:r w:rsidR="007D5DAD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فبالنسبة للجماعات </w:t>
      </w:r>
      <w:proofErr w:type="spellStart"/>
      <w:r w:rsidR="007D5DAD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المهمشة</w:t>
      </w:r>
      <w:proofErr w:type="spellEnd"/>
      <w:r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قد تحظى قيم الحرية السياسية والعدالة والاستقلال ببروز أكبر من القيم الاجتماعية كالانسجام والخضوع.</w:t>
      </w:r>
    </w:p>
    <w:p w:rsidR="008B156E" w:rsidRPr="00326241" w:rsidRDefault="007D5DAD" w:rsidP="008B156E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lastRenderedPageBreak/>
        <w:t xml:space="preserve">- </w:t>
      </w:r>
      <w:proofErr w:type="gramStart"/>
      <w:r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>ال</w:t>
      </w:r>
      <w:r>
        <w:rPr>
          <w:rFonts w:ascii="Times New Roman" w:eastAsia="Times New Roman" w:hAnsi="Times New Roman" w:cs="Simplified Arabic" w:hint="cs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>إ</w:t>
      </w:r>
      <w:r w:rsidR="008B156E"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>يديولوجيات</w:t>
      </w:r>
      <w:proofErr w:type="gramEnd"/>
      <w:r w:rsidR="008B156E"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 xml:space="preserve"> السياسية</w:t>
      </w:r>
    </w:p>
    <w:p w:rsidR="008B156E" w:rsidRPr="00326241" w:rsidRDefault="007D5DAD" w:rsidP="008B156E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بينما ت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هتم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الأنظمة السياسية بالتنظ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يم الاجتماعي والاقتصادي للسلطة،تمثل ال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إ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يديولوجيات السياسية النظير ا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لاجتماعي والمعرفي لهذه الأنظمة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،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فهي أنظمة المعتقدات الأساسية التي تشكل التصورات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الاجتماعية المشتركة للجماعات وتنظمها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،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في هذا السياق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تظهر الديمقراطية أو الشيوعية كنظام وكبناء معقد من التص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ورات الاجتماعية التي تتضمن قيم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محددة وترسخ مواقف تجاه خصائص كالسلطة والمساواة.</w:t>
      </w:r>
    </w:p>
    <w:p w:rsidR="008B156E" w:rsidRPr="00326241" w:rsidRDefault="008B156E" w:rsidP="008B156E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 xml:space="preserve">- </w:t>
      </w:r>
      <w:proofErr w:type="gramStart"/>
      <w:r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>المؤسسات</w:t>
      </w:r>
      <w:proofErr w:type="gramEnd"/>
      <w:r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 xml:space="preserve"> السياسية</w:t>
      </w:r>
    </w:p>
    <w:p w:rsidR="008B156E" w:rsidRPr="00326241" w:rsidRDefault="007D5DAD" w:rsidP="008B156E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ي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حلل المجال السياس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ي بكونه يتألف من مؤسسات رسمية ت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نظم المجال والجهات الفاعلة و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الإجراءات من الأعلى إلى الأسفل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مثل الدولة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والحكومات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والبرلمان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والمجالس البلدية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والهيئات الحكومية.</w:t>
      </w:r>
    </w:p>
    <w:p w:rsidR="008B156E" w:rsidRPr="00326241" w:rsidRDefault="008B156E" w:rsidP="008B156E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 xml:space="preserve">- </w:t>
      </w:r>
      <w:proofErr w:type="gramStart"/>
      <w:r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>المنظمات</w:t>
      </w:r>
      <w:proofErr w:type="gramEnd"/>
      <w:r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 xml:space="preserve"> والجماعات السياسية</w:t>
      </w:r>
    </w:p>
    <w:p w:rsidR="008B156E" w:rsidRPr="00326241" w:rsidRDefault="007D5DAD" w:rsidP="008B156E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توجد منظمات سياسية ت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نظم العمل السياسي كالأحزاب والنوادي ال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سياسية والمنظمات غير الحكومية،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هي كيانات أقل رسمية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من الناحية القانونية والدستورية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،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بمعزل عن هذه المنظمات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قد يشكل الفا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علون جماعات رسمية أو غير رسمية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كالمع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ارضين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والمتظاهرين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والتحالفات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والحركات الاجتماعية والسياسية.</w:t>
      </w:r>
    </w:p>
    <w:p w:rsidR="008B156E" w:rsidRPr="00326241" w:rsidRDefault="008B156E" w:rsidP="008B156E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 xml:space="preserve">- </w:t>
      </w:r>
      <w:proofErr w:type="gramStart"/>
      <w:r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>الفاعلون</w:t>
      </w:r>
      <w:proofErr w:type="gramEnd"/>
      <w:r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 xml:space="preserve"> السياسيون</w:t>
      </w:r>
    </w:p>
    <w:p w:rsidR="008B156E" w:rsidRPr="00326241" w:rsidRDefault="008B156E" w:rsidP="008B156E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إلى جانب </w:t>
      </w:r>
      <w:r w:rsidR="007D5DAD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الممثلين المنتخبين</w:t>
      </w:r>
      <w:r w:rsidR="007D5DAD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 w:rsidR="007D5DAD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السياسيين</w:t>
      </w:r>
      <w:r w:rsidR="007D5DAD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تشمل فئة الفاعلين السياسيي</w:t>
      </w:r>
      <w:r w:rsidR="007D5DAD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ن كل من ينخرط في الفعل السياسي</w:t>
      </w:r>
      <w:proofErr w:type="gramStart"/>
      <w:r w:rsidR="007D5DAD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،بما</w:t>
      </w:r>
      <w:proofErr w:type="gramEnd"/>
      <w:r w:rsidR="007D5DAD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في ذلك المتظاهرين وجماعات الضغط</w:t>
      </w:r>
      <w:r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والمضربين.</w:t>
      </w:r>
    </w:p>
    <w:p w:rsidR="008B156E" w:rsidRPr="00326241" w:rsidRDefault="008B156E" w:rsidP="008B156E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 xml:space="preserve">- </w:t>
      </w:r>
      <w:proofErr w:type="gramStart"/>
      <w:r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>العلاقات</w:t>
      </w:r>
      <w:proofErr w:type="gramEnd"/>
      <w:r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 xml:space="preserve"> السياسية</w:t>
      </w:r>
    </w:p>
    <w:p w:rsidR="008B156E" w:rsidRPr="00326241" w:rsidRDefault="008B156E" w:rsidP="008B156E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ترتبط الوحدات الهيكلية للمجال </w:t>
      </w:r>
      <w:r w:rsidR="007D5DAD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السياسي بعلاقات متعددة ونموذجية كالسلطة وإساءة استخدام السلطة</w:t>
      </w:r>
      <w:r w:rsidR="007D5DAD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 w:rsidR="007D5DAD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والهيمنة</w:t>
      </w:r>
      <w:r w:rsidR="007D5DAD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 w:rsidR="007D5DAD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والقمع والمساواة</w:t>
      </w:r>
      <w:r w:rsidR="007D5DAD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،ه</w:t>
      </w:r>
      <w:r w:rsidR="007D5DAD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ي علاقات ت</w:t>
      </w:r>
      <w:r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حدد كيفية تعامل الدولة مع مواطنيها أو </w:t>
      </w:r>
      <w:proofErr w:type="spellStart"/>
      <w:r w:rsidR="007D5DAD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تموضع</w:t>
      </w:r>
      <w:proofErr w:type="spellEnd"/>
      <w:r w:rsidR="007D5DAD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الجماعات تجاه بعضها البعض ويعد مصطلح الحرية الأكثر انتشارا</w:t>
      </w:r>
      <w:r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في وصف هذه العلاقات.</w:t>
      </w:r>
    </w:p>
    <w:p w:rsidR="008B156E" w:rsidRPr="00326241" w:rsidRDefault="008B156E" w:rsidP="008B156E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 xml:space="preserve">- </w:t>
      </w:r>
      <w:proofErr w:type="gramStart"/>
      <w:r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>العملية</w:t>
      </w:r>
      <w:proofErr w:type="gramEnd"/>
      <w:r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 xml:space="preserve"> والأفعال السياسية</w:t>
      </w:r>
    </w:p>
    <w:p w:rsidR="008B156E" w:rsidRPr="00326241" w:rsidRDefault="007D5DAD" w:rsidP="008B156E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 w:rsidRPr="007D5DAD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بالانتقال من التحليل البنيوي إلى التصور الديناميكي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تبرز 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bdr w:val="none" w:sz="0" w:space="0" w:color="auto" w:frame="1"/>
          <w:rtl/>
          <w:lang w:eastAsia="fr-FR"/>
        </w:rPr>
        <w:t>العملية السياسية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كمصطلح شامل يصنف تس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لسلات معقدة من الإجراءات كالحكم والتشريع والمعارضة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ووضع الأجندة.</w:t>
      </w:r>
    </w:p>
    <w:p w:rsidR="008B156E" w:rsidRPr="00326241" w:rsidRDefault="007D5DAD" w:rsidP="008B156E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على المستويين المتوسط والجزئي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نجد 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bdr w:val="none" w:sz="0" w:space="0" w:color="auto" w:frame="1"/>
          <w:rtl/>
          <w:lang w:eastAsia="fr-FR"/>
        </w:rPr>
        <w:t>الأفعال السياسية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الملموسة ك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اجتماعات المؤسسات وسن القوانين والتصويت والمظاهرات والثورات</w:t>
      </w:r>
      <w:proofErr w:type="gramStart"/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،حيث</w:t>
      </w:r>
      <w:proofErr w:type="gramEnd"/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ت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عر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ف هذه الأفعال من حيث نواياها ووظائفها ضمن العملية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lastRenderedPageBreak/>
        <w:t>السياسية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،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فجلسة البر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لمان هي وظيفة ضمن عملية التشريع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واجتماع المعارضين جزء من عملية المقاومة أو المعارضة.</w:t>
      </w:r>
    </w:p>
    <w:p w:rsidR="008B156E" w:rsidRPr="00326241" w:rsidRDefault="008B156E" w:rsidP="008B156E">
      <w:pPr>
        <w:bidi/>
        <w:spacing w:after="0"/>
        <w:jc w:val="both"/>
        <w:outlineLvl w:val="2"/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rtl/>
          <w:lang w:eastAsia="fr-FR"/>
        </w:rPr>
      </w:pPr>
      <w:r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 xml:space="preserve">- </w:t>
      </w:r>
      <w:proofErr w:type="gramStart"/>
      <w:r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>الخطاب</w:t>
      </w:r>
      <w:proofErr w:type="gramEnd"/>
      <w:r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 xml:space="preserve"> السياسي</w:t>
      </w:r>
    </w:p>
    <w:p w:rsidR="008B156E" w:rsidRPr="00326241" w:rsidRDefault="007D5DAD" w:rsidP="008B156E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ي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عتبر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الخطاب السياسي بأنواعه المتعددة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نموذج للعمل والتفاعل السياسي،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حيث يمكن تسليط الضوء عليه بوصفه منهجية بارزة لممارسة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السياسة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،بالتالي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فإن معظم الأفعال السياسية كسن القوانين واتخاذ القرارات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والاجتماعات والحملات الانتخابية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ذات طبيعة خطابية في جوهرها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،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بناء على ذلك فإلى جانب المناقشات البرلمانية والقرارات والقوانين واللوائح الحكومية أو الوزارية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وغيرها من الأنماط المؤسسية للكتابة والخطاب، تبرز أنواع أخر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ى من الخطاب السياسي مثل الدعاية والإعلانات السياسية والخطب السياسية والمقابلات الإعلامية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والبرامج الحوارية التلفزيونية وبرامج الأحزاب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وعمليات الاقتراع.</w:t>
      </w:r>
    </w:p>
    <w:p w:rsidR="007D5DAD" w:rsidRDefault="008B156E" w:rsidP="007D5DAD">
      <w:pPr>
        <w:bidi/>
        <w:spacing w:after="0"/>
        <w:jc w:val="both"/>
        <w:outlineLvl w:val="2"/>
        <w:rPr>
          <w:rFonts w:ascii="Times New Roman" w:eastAsia="Times New Roman" w:hAnsi="Times New Roman" w:cs="Simplified Arabic" w:hint="cs"/>
          <w:b/>
          <w:bCs/>
          <w:color w:val="1F1F1F"/>
          <w:sz w:val="28"/>
          <w:szCs w:val="28"/>
          <w:rtl/>
          <w:lang w:eastAsia="fr-FR"/>
        </w:rPr>
      </w:pPr>
      <w:r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 xml:space="preserve">- </w:t>
      </w:r>
      <w:proofErr w:type="gramStart"/>
      <w:r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>الإدراك</w:t>
      </w:r>
      <w:proofErr w:type="gramEnd"/>
      <w:r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 xml:space="preserve"> السياسي</w:t>
      </w:r>
    </w:p>
    <w:p w:rsidR="008B156E" w:rsidRPr="00326241" w:rsidRDefault="007D5DAD" w:rsidP="007D5DAD">
      <w:pPr>
        <w:bidi/>
        <w:spacing w:after="0"/>
        <w:jc w:val="both"/>
        <w:outlineLvl w:val="2"/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rtl/>
          <w:lang w:eastAsia="fr-FR"/>
        </w:rPr>
      </w:pP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على اعتبار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ال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إ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يديولوجيات تمثل النظير المعرفي للأنظمة أو المنظمات على المستو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يات الكلية المجتمعية والسياسية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، فإن الفاعلين السياسيين وأفعالهم وخطابهم يتم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توجيههم وتفسيرهم وتقييمهم محليا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عبر أ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نماط متنوعة من الإدراك السياسي،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كالمعرفة الاجتم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اعية المشتركة والمواقف السياسية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بالإضافة إلى </w:t>
      </w:r>
      <w:proofErr w:type="spellStart"/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تمثل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ات</w:t>
      </w:r>
      <w:proofErr w:type="spellEnd"/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معرفية أكثر تحديدا للأحداث السياسية الملموسة</w:t>
      </w:r>
      <w:r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و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لعل المفهوم الأكثر شيوع في هذا السياق هو الرأي العام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.</w:t>
      </w:r>
    </w:p>
    <w:p w:rsidR="008B156E" w:rsidRPr="00326241" w:rsidRDefault="008B156E" w:rsidP="008B156E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يقدم هذا التصنيف الموجز لهياك</w:t>
      </w:r>
      <w:r w:rsidR="007D5DAD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ل وعمليات المجال السياسي تحديد مبدئي</w:t>
      </w:r>
      <w:r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للخطاب السياسي ضمن خ</w:t>
      </w:r>
      <w:r w:rsidR="007D5DAD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صائص النظام والعملية السياسية</w:t>
      </w:r>
      <w:r w:rsidR="007D5DAD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،</w:t>
      </w:r>
      <w:r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باعتباره حالة خا</w:t>
      </w:r>
      <w:r w:rsidR="007D5DAD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صة من العمل السياسي وجزء وظيفي أو استراتيجي من العملية السياسية</w:t>
      </w:r>
      <w:r w:rsidR="007D5DAD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،بالتالي </w:t>
      </w:r>
      <w:r w:rsidR="007D5DAD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تقريب أولي لشروطه ونتائجه</w:t>
      </w:r>
      <w:r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ومن ثم للأهداف وا</w:t>
      </w:r>
      <w:r w:rsidR="007D5DAD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لوظائف النموذجية لإنجازه وسياقه</w:t>
      </w:r>
      <w:r w:rsidR="007D5DAD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>،</w:t>
      </w:r>
      <w:r w:rsidR="007D5DAD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هكذا فإن المناقشة البرلمانية أو المنشور الدعائي</w:t>
      </w:r>
      <w:r w:rsidR="007D5DAD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 w:rsidR="007D5DAD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أو خطاب الحملة</w:t>
      </w:r>
      <w:r w:rsidR="007D5DAD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 w:rsidR="007D5DAD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أو الشعار الثوري</w:t>
      </w:r>
      <w:r w:rsidR="007D5DAD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هي أنواع خطابية يمكننا ا</w:t>
      </w:r>
      <w:r w:rsidR="007D5DAD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لآن تحديد مجالها المجتمعي العام وطبيعة نظامها السياسي ومؤسساتها</w:t>
      </w:r>
      <w:r w:rsidR="00DD509A">
        <w:rPr>
          <w:rFonts w:ascii="Times New Roman" w:eastAsia="Times New Roman" w:hAnsi="Times New Roman" w:cs="Simplified Arabic" w:hint="cs"/>
          <w:color w:val="1F1F1F"/>
          <w:sz w:val="28"/>
          <w:szCs w:val="28"/>
          <w:rtl/>
          <w:lang w:eastAsia="fr-FR"/>
        </w:rPr>
        <w:t xml:space="preserve"> </w:t>
      </w:r>
      <w:r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وفئات التفاعل التي تميزها.</w:t>
      </w:r>
    </w:p>
    <w:p w:rsidR="008B156E" w:rsidRPr="00326241" w:rsidRDefault="00DD509A" w:rsidP="008B156E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 w:rsidRPr="00DD509A">
        <w:rPr>
          <w:rFonts w:ascii="Times New Roman" w:eastAsia="Times New Roman" w:hAnsi="Times New Roman" w:cs="Simplified Arabic" w:hint="cs"/>
          <w:color w:val="1F1F1F"/>
          <w:sz w:val="28"/>
          <w:szCs w:val="28"/>
          <w:bdr w:val="none" w:sz="0" w:space="0" w:color="auto" w:frame="1"/>
          <w:rtl/>
          <w:lang w:eastAsia="fr-FR"/>
        </w:rPr>
        <w:t xml:space="preserve">كمثال 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بالنسبة للمناقشة البرلمانية أو </w:t>
      </w:r>
      <w:proofErr w:type="gramStart"/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مناقشة</w:t>
      </w:r>
      <w:proofErr w:type="gramEnd"/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مجلس النواب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يمكن صياغة التوصيف المنهجي على النحو الآتي:</w:t>
      </w:r>
    </w:p>
    <w:p w:rsidR="008B156E" w:rsidRPr="00326241" w:rsidRDefault="00DD509A" w:rsidP="00DD509A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>
        <w:rPr>
          <w:rFonts w:ascii="Times New Roman" w:eastAsia="Times New Roman" w:hAnsi="Times New Roman" w:cs="Simplified Arabic" w:hint="cs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>-</w:t>
      </w:r>
      <w:proofErr w:type="gramStart"/>
      <w:r w:rsidR="008B156E"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>المجال</w:t>
      </w:r>
      <w:proofErr w:type="gramEnd"/>
      <w:r w:rsidR="008B156E"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>: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السياسة.</w:t>
      </w:r>
    </w:p>
    <w:p w:rsidR="008B156E" w:rsidRPr="00326241" w:rsidRDefault="00DD509A" w:rsidP="00DD509A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>
        <w:rPr>
          <w:rFonts w:ascii="Times New Roman" w:eastAsia="Times New Roman" w:hAnsi="Times New Roman" w:cs="Simplified Arabic" w:hint="cs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>-</w:t>
      </w:r>
      <w:proofErr w:type="gramStart"/>
      <w:r w:rsidR="008B156E"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>النظام</w:t>
      </w:r>
      <w:proofErr w:type="gramEnd"/>
      <w:r w:rsidR="008B156E"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>: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الديمقراطية.</w:t>
      </w:r>
    </w:p>
    <w:p w:rsidR="008B156E" w:rsidRPr="00326241" w:rsidRDefault="00DD509A" w:rsidP="00DD509A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>
        <w:rPr>
          <w:rFonts w:ascii="Times New Roman" w:eastAsia="Times New Roman" w:hAnsi="Times New Roman" w:cs="Simplified Arabic" w:hint="cs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>-</w:t>
      </w:r>
      <w:proofErr w:type="gramStart"/>
      <w:r w:rsidR="008B156E"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>المؤسسة</w:t>
      </w:r>
      <w:proofErr w:type="gramEnd"/>
      <w:r w:rsidR="008B156E"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>: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البرلمان.</w:t>
      </w:r>
    </w:p>
    <w:p w:rsidR="008B156E" w:rsidRPr="00326241" w:rsidRDefault="00DD509A" w:rsidP="00DD509A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>
        <w:rPr>
          <w:rFonts w:ascii="Times New Roman" w:eastAsia="Times New Roman" w:hAnsi="Times New Roman" w:cs="Simplified Arabic" w:hint="cs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lastRenderedPageBreak/>
        <w:t>-</w:t>
      </w:r>
      <w:proofErr w:type="gramStart"/>
      <w:r w:rsidR="008B156E"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>القيم</w:t>
      </w:r>
      <w:proofErr w:type="gramEnd"/>
      <w:r w:rsidR="008B156E"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 xml:space="preserve"> والأيديولوجيات: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الديمقراطية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وأيديولوجيات الجماعات والأحزاب.</w:t>
      </w:r>
    </w:p>
    <w:p w:rsidR="008B156E" w:rsidRPr="00326241" w:rsidRDefault="00DD509A" w:rsidP="00DD509A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>
        <w:rPr>
          <w:rFonts w:ascii="Times New Roman" w:eastAsia="Times New Roman" w:hAnsi="Times New Roman" w:cs="Simplified Arabic" w:hint="cs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>-</w:t>
      </w:r>
      <w:proofErr w:type="gramStart"/>
      <w:r w:rsidR="008B156E"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>المنظمات</w:t>
      </w:r>
      <w:proofErr w:type="gramEnd"/>
      <w:r w:rsidR="008B156E"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>: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الأحزاب السياسية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وجماعات الضغط.</w:t>
      </w:r>
    </w:p>
    <w:p w:rsidR="008B156E" w:rsidRPr="00326241" w:rsidRDefault="00DD509A" w:rsidP="00DD509A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>
        <w:rPr>
          <w:rFonts w:ascii="Times New Roman" w:eastAsia="Times New Roman" w:hAnsi="Times New Roman" w:cs="Simplified Arabic" w:hint="cs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>-</w:t>
      </w:r>
      <w:proofErr w:type="gramStart"/>
      <w:r w:rsidR="008B156E"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>الفاعلون</w:t>
      </w:r>
      <w:proofErr w:type="gramEnd"/>
      <w:r w:rsidR="008B156E"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 xml:space="preserve"> السياسيون:</w:t>
      </w:r>
      <w:r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أعضاء البرلمان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 xml:space="preserve"> والوزراء.</w:t>
      </w:r>
    </w:p>
    <w:p w:rsidR="008B156E" w:rsidRPr="00326241" w:rsidRDefault="00DD509A" w:rsidP="00DD509A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>
        <w:rPr>
          <w:rFonts w:ascii="Times New Roman" w:eastAsia="Times New Roman" w:hAnsi="Times New Roman" w:cs="Simplified Arabic" w:hint="cs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>-</w:t>
      </w:r>
      <w:proofErr w:type="gramStart"/>
      <w:r w:rsidR="008B156E"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>العلاقات</w:t>
      </w:r>
      <w:proofErr w:type="gramEnd"/>
      <w:r w:rsidR="008B156E"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 xml:space="preserve"> السياسية: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السلطة التشريعية.</w:t>
      </w:r>
    </w:p>
    <w:p w:rsidR="008B156E" w:rsidRPr="00326241" w:rsidRDefault="00DD509A" w:rsidP="00DD509A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>
        <w:rPr>
          <w:rFonts w:ascii="Times New Roman" w:eastAsia="Times New Roman" w:hAnsi="Times New Roman" w:cs="Simplified Arabic" w:hint="cs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>-</w:t>
      </w:r>
      <w:proofErr w:type="gramStart"/>
      <w:r w:rsidR="008B156E"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>العملية</w:t>
      </w:r>
      <w:proofErr w:type="gramEnd"/>
      <w:r w:rsidR="008B156E"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 xml:space="preserve"> السياسية: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التشريع.</w:t>
      </w:r>
    </w:p>
    <w:p w:rsidR="008B156E" w:rsidRPr="00326241" w:rsidRDefault="00DD509A" w:rsidP="00DD509A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>
        <w:rPr>
          <w:rFonts w:ascii="Times New Roman" w:eastAsia="Times New Roman" w:hAnsi="Times New Roman" w:cs="Simplified Arabic" w:hint="cs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>-</w:t>
      </w:r>
      <w:proofErr w:type="gramStart"/>
      <w:r w:rsidR="008B156E"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>العمل</w:t>
      </w:r>
      <w:proofErr w:type="gramEnd"/>
      <w:r w:rsidR="008B156E"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 xml:space="preserve"> السياسي: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صنع القرار السياسي.</w:t>
      </w:r>
    </w:p>
    <w:p w:rsidR="008B156E" w:rsidRPr="00326241" w:rsidRDefault="00DD509A" w:rsidP="00DD509A">
      <w:pPr>
        <w:bidi/>
        <w:spacing w:after="0"/>
        <w:jc w:val="both"/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</w:pPr>
      <w:r>
        <w:rPr>
          <w:rFonts w:ascii="Times New Roman" w:eastAsia="Times New Roman" w:hAnsi="Times New Roman" w:cs="Simplified Arabic" w:hint="cs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>-</w:t>
      </w:r>
      <w:proofErr w:type="spellStart"/>
      <w:r w:rsidR="008B156E"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>الإدراكات</w:t>
      </w:r>
      <w:proofErr w:type="spellEnd"/>
      <w:r w:rsidR="008B156E" w:rsidRPr="00326241">
        <w:rPr>
          <w:rFonts w:ascii="Times New Roman" w:eastAsia="Times New Roman" w:hAnsi="Times New Roman" w:cs="Simplified Arabic"/>
          <w:b/>
          <w:bCs/>
          <w:color w:val="1F1F1F"/>
          <w:sz w:val="28"/>
          <w:szCs w:val="28"/>
          <w:bdr w:val="none" w:sz="0" w:space="0" w:color="auto" w:frame="1"/>
          <w:rtl/>
          <w:lang w:eastAsia="fr-FR"/>
        </w:rPr>
        <w:t xml:space="preserve"> السياسية:</w:t>
      </w:r>
      <w:r w:rsidR="008B156E" w:rsidRPr="00326241">
        <w:rPr>
          <w:rFonts w:ascii="Times New Roman" w:eastAsia="Times New Roman" w:hAnsi="Times New Roman" w:cs="Simplified Arabic"/>
          <w:color w:val="1F1F1F"/>
          <w:sz w:val="28"/>
          <w:szCs w:val="28"/>
          <w:rtl/>
          <w:lang w:eastAsia="fr-FR"/>
        </w:rPr>
        <w:t>المواقف تجاه القضايا ذات الصلة.</w:t>
      </w:r>
    </w:p>
    <w:p w:rsidR="008B156E" w:rsidRDefault="008B156E" w:rsidP="008B156E">
      <w:pPr>
        <w:bidi/>
        <w:rPr>
          <w:rFonts w:hint="cs"/>
        </w:rPr>
      </w:pPr>
    </w:p>
    <w:sectPr w:rsidR="008B156E" w:rsidSect="00F869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520B8"/>
    <w:multiLevelType w:val="multilevel"/>
    <w:tmpl w:val="F7AE7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hyphenationZone w:val="425"/>
  <w:characterSpacingControl w:val="doNotCompress"/>
  <w:compat/>
  <w:rsids>
    <w:rsidRoot w:val="008B156E"/>
    <w:rsid w:val="00114B62"/>
    <w:rsid w:val="00590696"/>
    <w:rsid w:val="007D5DAD"/>
    <w:rsid w:val="008B156E"/>
    <w:rsid w:val="00DD509A"/>
    <w:rsid w:val="00F869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56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843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2026-04-05T13:36:00Z</dcterms:created>
  <dcterms:modified xsi:type="dcterms:W3CDTF">2026-04-05T13:36:00Z</dcterms:modified>
</cp:coreProperties>
</file>