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70B" w:rsidRPr="00D42756" w:rsidRDefault="000E270B" w:rsidP="0048661A">
      <w:pPr>
        <w:bidi/>
        <w:spacing w:line="240" w:lineRule="auto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D4275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مميزات الشخصية الطبيعية: الذمة المالية </w:t>
      </w:r>
    </w:p>
    <w:p w:rsidR="000F0B6A" w:rsidRPr="00933B0B" w:rsidRDefault="000F1C87" w:rsidP="0048661A">
      <w:pPr>
        <w:pStyle w:val="Paragraphedeliste"/>
        <w:numPr>
          <w:ilvl w:val="0"/>
          <w:numId w:val="1"/>
        </w:numPr>
        <w:bidi/>
        <w:spacing w:line="240" w:lineRule="auto"/>
        <w:jc w:val="both"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تعريف </w:t>
      </w:r>
      <w:r w:rsidR="000E270B" w:rsidRPr="000F0B6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الذمة المالية:</w:t>
      </w:r>
      <w:r w:rsidR="00933B0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="00D42756" w:rsidRPr="00933B0B">
        <w:rPr>
          <w:rFonts w:ascii="Simplified Arabic" w:hAnsi="Simplified Arabic" w:cs="Simplified Arabic" w:hint="cs"/>
          <w:sz w:val="32"/>
          <w:szCs w:val="32"/>
          <w:rtl/>
          <w:lang w:bidi="ar-DZ"/>
        </w:rPr>
        <w:t>هي مجموع ما للشخص من حقوق وما عليه من التزامات</w:t>
      </w:r>
      <w:r w:rsidR="00D55FEF" w:rsidRPr="00933B0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(أصول+ خصوم)، </w:t>
      </w:r>
      <w:r w:rsidR="00D55FEF" w:rsidRPr="00933B0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قابلة لأن تقوم بالنقود</w:t>
      </w:r>
      <w:r w:rsidR="000F0B6A" w:rsidRPr="00933B0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. ويعرفها البعض بأنها مجموع ما للشخص وما عليه من حقوق والتزامات </w:t>
      </w:r>
      <w:r w:rsidR="000F0B6A" w:rsidRPr="00933B0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ذات قيمة مالية</w:t>
      </w:r>
      <w:r w:rsidR="000F0B6A" w:rsidRPr="00933B0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حاضرة ومستقبلة. </w:t>
      </w:r>
    </w:p>
    <w:p w:rsidR="00127C33" w:rsidRDefault="001220EB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* </w:t>
      </w:r>
      <w:r w:rsidR="00185F05">
        <w:rPr>
          <w:rFonts w:ascii="Simplified Arabic" w:hAnsi="Simplified Arabic" w:cs="Simplified Arabic" w:hint="cs"/>
          <w:sz w:val="32"/>
          <w:szCs w:val="32"/>
          <w:rtl/>
          <w:lang w:bidi="ar-DZ"/>
        </w:rPr>
        <w:t>فهي</w:t>
      </w:r>
      <w:r w:rsidR="00127C3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مجموع قانوني</w:t>
      </w:r>
      <w:r w:rsidR="00185F05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 w:rsidR="00127C3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تشمل حقوق الشخص والتزاماته الحاضرة والمستقبلة.</w:t>
      </w:r>
    </w:p>
    <w:p w:rsidR="001220EB" w:rsidRDefault="001220EB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* فحقوق الشخص تمثل الجانب الإيجابي للذمة المالية والتزامات</w:t>
      </w:r>
      <w:r>
        <w:rPr>
          <w:rFonts w:ascii="Simplified Arabic" w:hAnsi="Simplified Arabic" w:cs="Simplified Arabic" w:hint="eastAsia"/>
          <w:sz w:val="32"/>
          <w:szCs w:val="32"/>
          <w:rtl/>
          <w:lang w:bidi="ar-DZ"/>
        </w:rPr>
        <w:t>ه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هو جانبها السلبي باستثناء الالتزام العام باحترام حقوق الآخرين.   </w:t>
      </w:r>
    </w:p>
    <w:p w:rsidR="00933B0B" w:rsidRDefault="000F1C87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2- </w:t>
      </w:r>
      <w:r w:rsidR="00933B0B" w:rsidRPr="00933B0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أهمية الذمة المالية: </w:t>
      </w:r>
      <w:r w:rsidR="00766DE6" w:rsidRPr="00766D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تتجلى أهميتها من خلال عنصرين:</w:t>
      </w:r>
      <w:r w:rsidR="00766DE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</w:p>
    <w:p w:rsidR="00766DE6" w:rsidRDefault="000F1C87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2-1 </w:t>
      </w:r>
      <w:r w:rsidR="00B631D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حق الضمان العام: </w:t>
      </w:r>
      <w:r w:rsidR="00B631DA">
        <w:rPr>
          <w:rFonts w:ascii="Simplified Arabic" w:hAnsi="Simplified Arabic" w:cs="Simplified Arabic" w:hint="cs"/>
          <w:sz w:val="32"/>
          <w:szCs w:val="32"/>
          <w:rtl/>
          <w:lang w:bidi="ar-DZ"/>
        </w:rPr>
        <w:t>يقع الضمان العام على الجانب الإيجابي لذمة المدين وليس على مال بعينه.</w:t>
      </w:r>
    </w:p>
    <w:p w:rsidR="004343B5" w:rsidRDefault="00B631DA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ويترتب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على ذلك</w:t>
      </w:r>
      <w:r w:rsidR="0013163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عدم حرمان المدين من التصرف في أمواله ما دام لا يوجد ضمان خاص. لذلك خول القانون </w:t>
      </w:r>
      <w:r w:rsidR="00DC340F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للدائنين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للحفاظ على حقوقهم أي على الضمان العام ثلاث دعاوى وهي الدعوى غير المباشرة والدعوى البوليصية والدعوى الصورية.</w:t>
      </w:r>
    </w:p>
    <w:p w:rsidR="004343B5" w:rsidRDefault="004343B5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* </w:t>
      </w:r>
      <w:r w:rsidRPr="004343B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أخطار الضمان العام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: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ينطوي الضمان على أخطار بالنسبة للدائنين هما: </w:t>
      </w:r>
    </w:p>
    <w:p w:rsidR="004343B5" w:rsidRDefault="004343B5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-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خطر مزاحمة الدائنين لبعضهم البعض، لأنهم متساوون أمام الضمان العام</w:t>
      </w:r>
      <w:r w:rsidR="00131636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4343B5" w:rsidRDefault="004343B5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-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خطر تصرف المدين في أمواله أي في الضمان العام مما يؤدي إلى إنقاصه. </w:t>
      </w:r>
    </w:p>
    <w:p w:rsidR="00A536DE" w:rsidRDefault="00A536DE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ومن أجل ذلك وجدت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التأمينات العينية التي تخول الدائن حقي الأفضلية والتتبع. </w:t>
      </w:r>
    </w:p>
    <w:p w:rsidR="00002AA6" w:rsidRPr="00002AA6" w:rsidRDefault="000F1C87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2-2 </w:t>
      </w:r>
      <w:r w:rsidR="00002AA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انتقال الذمة المالية بالوفاة: </w:t>
      </w:r>
      <w:r w:rsidR="00002AA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تنتقل إلى الورثة بوفاة مورثهم كوحدة متماسكة، يضمن جانبها الإيجابي جانبها السلبي. ولا تنتقل العناصر الإيجابية لذمة المورث إلى الوارث إلا بعد سداد أو خصم الديون منها، </w:t>
      </w:r>
      <w:r w:rsidR="00002AA6" w:rsidRPr="00002AA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فلا تركة إلا بعد سداد الديون</w:t>
      </w:r>
      <w:r w:rsidR="00002AA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.     </w:t>
      </w:r>
    </w:p>
    <w:p w:rsidR="00131636" w:rsidRDefault="00B73E73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 w:rsidRPr="00BD3A14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3- </w:t>
      </w:r>
      <w:r w:rsidR="00BD3A14" w:rsidRPr="00BD3A14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الطبيعة القانونية للذمة المالية: </w:t>
      </w:r>
    </w:p>
    <w:p w:rsidR="001C1657" w:rsidRDefault="001C1657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 w:rsidRPr="001C1657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3-1 النظرية الشخصية: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تربط بين الذمة المالية والشخصية القانونية، فهي نتيحة حتمية لها.</w:t>
      </w:r>
    </w:p>
    <w:p w:rsidR="001C1657" w:rsidRDefault="001C1657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ويترتب </w:t>
      </w:r>
      <w:r w:rsidRPr="001C165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على الأخذ بها ما يلي: </w:t>
      </w:r>
    </w:p>
    <w:p w:rsidR="001C1657" w:rsidRDefault="001C1657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lastRenderedPageBreak/>
        <w:t xml:space="preserve">- </w:t>
      </w:r>
      <w:r w:rsidR="00C60013" w:rsidRPr="00C60013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لا يوجد شخص بدون ذمة مالية</w:t>
      </w:r>
      <w:r w:rsidR="00C6001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لأنها تثبت لكل شخص </w:t>
      </w:r>
      <w:r w:rsidR="006C118E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حتى </w:t>
      </w:r>
      <w:r w:rsidR="00C60013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وإن كان مجردا من أي حق أو التزام(اللقيط)</w:t>
      </w:r>
    </w:p>
    <w:p w:rsidR="0087731F" w:rsidRDefault="0087731F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-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لا توجد ذمة مالية مستقلة، فهي تثبت للشخص وحده.</w:t>
      </w:r>
    </w:p>
    <w:p w:rsidR="0087731F" w:rsidRDefault="0087731F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-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وحدة الذمة المالية أي عدم قابليتها للتجزئة، فلا تتعدد ولا تتجزأ.</w:t>
      </w:r>
    </w:p>
    <w:p w:rsidR="0087731F" w:rsidRDefault="0087731F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-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عدم قابليتها للتصرف فيها أو التنازل عنها.  </w:t>
      </w:r>
    </w:p>
    <w:p w:rsidR="00D548DC" w:rsidRPr="004B2E13" w:rsidRDefault="00D548DC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نقد: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4B2E13" w:rsidRPr="004B2E13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مغالاتها في</w:t>
      </w:r>
      <w:r w:rsidR="004B2E1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الربط بين الذمة المالية والشخصية القانونية لدرجة الدمج بينهما</w:t>
      </w:r>
      <w:r w:rsidR="00835E5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وما يترتب على ذلك من عدم إمكان تعدد الذمة المالية أو تجزئتها. </w:t>
      </w:r>
    </w:p>
    <w:p w:rsidR="00DC36ED" w:rsidRDefault="001C1657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3-2 نظرية التخصيص:</w:t>
      </w:r>
      <w:r w:rsidR="00DC36E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 w:rsidR="00DC36E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الشيء الجوهري في الذمة المالية ليس ارتباطها بشخص</w:t>
      </w:r>
      <w:r w:rsidR="002F0AD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بل</w:t>
      </w:r>
      <w:r w:rsidR="00DC36E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بتخصيص بعض من عناصرها(الأموال) لغرض معين.</w:t>
      </w:r>
      <w:r w:rsidR="002F0AD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فالذمة المالية هي مجموعة أموال مخصصة لتحقيق غرض معين، وبالتالي </w:t>
      </w:r>
      <w:r w:rsidR="00CC2CAE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لا حاجة إلى </w:t>
      </w:r>
      <w:r w:rsidR="002F0AD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شخص </w:t>
      </w:r>
      <w:r w:rsidR="00AB0CFE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لوجودها</w:t>
      </w:r>
      <w:r w:rsidR="002F0AD4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DC36ED" w:rsidRDefault="00DC36ED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وقد أراد أنصار هذه النظرية، الاستغناء عن الشخص المعنوي كافتراض قانوني والاعتراف بوجود الذمة المالية بمجرد وجود مجموعة من الأموال مخصصة لغرض معين.</w:t>
      </w:r>
    </w:p>
    <w:p w:rsidR="00F5497B" w:rsidRDefault="00F5497B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وتترتب عليها مجموعة من النتائج هي: </w:t>
      </w:r>
    </w:p>
    <w:p w:rsidR="00F5497B" w:rsidRDefault="00A45FEE" w:rsidP="0048661A">
      <w:pPr>
        <w:bidi/>
        <w:spacing w:line="240" w:lineRule="auto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 </w:t>
      </w:r>
      <w:r w:rsidR="000507C0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وجود ذمة مالية مستقلة عن الشخص .</w:t>
      </w:r>
    </w:p>
    <w:p w:rsidR="000507C0" w:rsidRDefault="000507C0" w:rsidP="0048661A">
      <w:pPr>
        <w:bidi/>
        <w:spacing w:line="240" w:lineRule="auto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 إمكانية تعدد الذمم المالية، طالما أنها لا ترتبط بشخص</w:t>
      </w:r>
      <w:r w:rsidR="00A56F42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 فتتعدد الذمة المالية بتعدد الأغراض المخصصة لها.</w:t>
      </w:r>
    </w:p>
    <w:p w:rsidR="000657A4" w:rsidRPr="00B1093A" w:rsidRDefault="00A56F42" w:rsidP="0048661A">
      <w:pPr>
        <w:bidi/>
        <w:spacing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 </w:t>
      </w:r>
      <w:r w:rsidR="000657A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إمكانية انتقال الذمة المالية، لأنها غير مرتبطة بشخص، كالتصرف في المحل التجاري بالنظر إليه كذمة مالية متخصصة.</w:t>
      </w:r>
    </w:p>
    <w:p w:rsidR="00B1093A" w:rsidRPr="00B1093A" w:rsidRDefault="00B1093A" w:rsidP="0048661A">
      <w:pPr>
        <w:bidi/>
        <w:spacing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B1093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نقد: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يمكن تصور وجود ذمة مالية دون استنادها إلى شخص معين، فلا </w:t>
      </w:r>
      <w:r w:rsidR="00F95D9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يكتسب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الحقوق ولا يتحمل الالتزامات إلا شخص معين.  </w:t>
      </w:r>
    </w:p>
    <w:p w:rsidR="00A56F42" w:rsidRDefault="007874A5" w:rsidP="0048661A">
      <w:pPr>
        <w:bidi/>
        <w:spacing w:line="240" w:lineRule="auto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 w:rsidRPr="007874A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lastRenderedPageBreak/>
        <w:t xml:space="preserve">3-3 موقف الفقه الحديث: </w:t>
      </w:r>
      <w:r w:rsidR="006A208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الذمة المالية هي </w:t>
      </w:r>
      <w:r w:rsidR="006A208B" w:rsidRPr="002F0AD4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وحدة </w:t>
      </w:r>
      <w:r w:rsidR="00F60BA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أو مجموعة </w:t>
      </w:r>
      <w:r w:rsidR="006A208B" w:rsidRPr="002F0AD4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قانونية مجردة</w:t>
      </w:r>
      <w:r w:rsidR="000263BC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(وعاء)</w:t>
      </w:r>
      <w:r w:rsidR="006A208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لها ذاتية مستقلة ومنفصلة عن ذاتية ومفردات ما يدخل في تكوينها من حقوق والتزامات مالية</w:t>
      </w:r>
      <w:r w:rsidR="00F60BA5">
        <w:rPr>
          <w:rFonts w:ascii="Simplified Arabic" w:hAnsi="Simplified Arabic" w:cs="Simplified Arabic" w:hint="cs"/>
          <w:sz w:val="32"/>
          <w:szCs w:val="32"/>
          <w:rtl/>
          <w:lang w:bidi="ar-DZ"/>
        </w:rPr>
        <w:t>(محتوى الذمة المالية)</w:t>
      </w:r>
      <w:r w:rsidR="006A208B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5F2AAE" w:rsidRDefault="005F2AAE" w:rsidP="0048661A">
      <w:pPr>
        <w:bidi/>
        <w:spacing w:line="240" w:lineRule="auto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أما عن موقف المشرع فإنه أخذ ببعض التطبيقات التي تستمد حلولها من كلا النظريتين.</w:t>
      </w:r>
    </w:p>
    <w:p w:rsidR="005F2AAE" w:rsidRDefault="005F2AAE" w:rsidP="0048661A">
      <w:pPr>
        <w:bidi/>
        <w:spacing w:line="240" w:lineRule="auto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فبالنسبة للنظرية الشخصية كرسها بالأخذ بثلاثة حلول هي: </w:t>
      </w:r>
    </w:p>
    <w:p w:rsidR="005F2AAE" w:rsidRDefault="00222E12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-عدم </w:t>
      </w:r>
      <w:r w:rsidR="005F2AAE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تصور وجود ذمة مالية دون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وجود </w:t>
      </w:r>
      <w:r w:rsidR="005F2AAE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شخص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قانوني تستند إليه.</w:t>
      </w:r>
    </w:p>
    <w:p w:rsidR="005F2AAE" w:rsidRDefault="002357C9" w:rsidP="0048661A">
      <w:pPr>
        <w:pStyle w:val="Paragraphedeliste"/>
        <w:numPr>
          <w:ilvl w:val="0"/>
          <w:numId w:val="4"/>
        </w:numPr>
        <w:bidi/>
        <w:spacing w:line="240" w:lineRule="auto"/>
        <w:ind w:left="-58" w:firstLine="0"/>
        <w:jc w:val="both"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تكريس فكرة الشخصية المعنوية وتنظيم أحكامها</w:t>
      </w:r>
      <w:r w:rsidR="00AA528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بالمواد من 49 إلى 52 مدني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2357C9" w:rsidRPr="005F2AAE" w:rsidRDefault="00AA5286" w:rsidP="0048661A">
      <w:pPr>
        <w:pStyle w:val="Paragraphedeliste"/>
        <w:numPr>
          <w:ilvl w:val="0"/>
          <w:numId w:val="4"/>
        </w:numPr>
        <w:bidi/>
        <w:spacing w:line="240" w:lineRule="auto"/>
        <w:ind w:left="-58" w:firstLine="0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تنظيم حق الضمان العام للدائنين بالمادة 188 مدني.</w:t>
      </w:r>
    </w:p>
    <w:p w:rsidR="00F5497B" w:rsidRDefault="004F5A9C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فبالنسبة لنظرية التخصيص فقد كرسها المشرع بالأخذ بأربعة حلول هي:</w:t>
      </w:r>
    </w:p>
    <w:p w:rsidR="001374B5" w:rsidRDefault="004F5A9C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 </w:t>
      </w:r>
      <w:r w:rsidR="001374B5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الوارث، تكون للوارث ذمتان يخضع كل منها لنظام قانوني معين وأساس هذا التعدد قاعدة ألا تركة إلا بعد سداد الديون.</w:t>
      </w:r>
    </w:p>
    <w:p w:rsidR="00107C9D" w:rsidRDefault="001374B5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r w:rsidR="005B3BD2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القاصر المأذون له بالتجارة، له ذمة أصلية أو العادية ذمة خاصة تتعلق بحقوقه والتزاماته المتعلقة بالتجارة المأذون له بممارستها</w:t>
      </w:r>
      <w:r w:rsidR="00107C9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 وهذا حتى لا يسأل القاصر المرشد بالنسبة للأعمال التجارية المأذون له بممارستها إلا في حدود ذمته الخاصة.</w:t>
      </w:r>
    </w:p>
    <w:p w:rsidR="006859D3" w:rsidRDefault="00107C9D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 </w:t>
      </w:r>
      <w:r w:rsidR="006859D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الشريك المساهم في شركة المساهمة(المادة 592/1 تجاري)</w:t>
      </w:r>
    </w:p>
    <w:p w:rsidR="005B3BD2" w:rsidRDefault="006859D3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 الشركة ذات الشخص الوحيد وذات المسؤولية المحدودة(المادة 564/1 تجاري).</w:t>
      </w:r>
      <w:r w:rsidR="00107C9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</w:p>
    <w:p w:rsidR="004F5A9C" w:rsidRDefault="005B3BD2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r w:rsidR="00107C9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1374B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</w:p>
    <w:p w:rsidR="001C1657" w:rsidRPr="001C1657" w:rsidRDefault="001C1657" w:rsidP="0048661A">
      <w:pPr>
        <w:pStyle w:val="Paragraphedeliste"/>
        <w:bidi/>
        <w:spacing w:line="240" w:lineRule="auto"/>
        <w:ind w:left="-58"/>
        <w:jc w:val="both"/>
        <w:rPr>
          <w:rFonts w:ascii="Simplified Arabic" w:hAnsi="Simplified Arabic" w:cs="Simplified Arabic" w:hint="cs"/>
          <w:b/>
          <w:bCs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</w:p>
    <w:p w:rsidR="000E270B" w:rsidRPr="000263BC" w:rsidRDefault="000E270B" w:rsidP="0048661A">
      <w:pPr>
        <w:bidi/>
        <w:spacing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</w:p>
    <w:sectPr w:rsidR="000E270B" w:rsidRPr="000263BC" w:rsidSect="003E2399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1D1C" w:rsidRDefault="00E01D1C" w:rsidP="007821DF">
      <w:pPr>
        <w:spacing w:after="0" w:line="240" w:lineRule="auto"/>
      </w:pPr>
      <w:r>
        <w:separator/>
      </w:r>
    </w:p>
  </w:endnote>
  <w:endnote w:type="continuationSeparator" w:id="1">
    <w:p w:rsidR="00E01D1C" w:rsidRDefault="00E01D1C" w:rsidP="00782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36171"/>
      <w:docPartObj>
        <w:docPartGallery w:val="Page Numbers (Bottom of Page)"/>
        <w:docPartUnique/>
      </w:docPartObj>
    </w:sdtPr>
    <w:sdtContent>
      <w:p w:rsidR="007821DF" w:rsidRDefault="007821DF">
        <w:pPr>
          <w:pStyle w:val="Pieddepage"/>
          <w:jc w:val="center"/>
        </w:pPr>
        <w:fldSimple w:instr=" PAGE   \* MERGEFORMAT ">
          <w:r w:rsidR="0048661A">
            <w:rPr>
              <w:noProof/>
            </w:rPr>
            <w:t>1</w:t>
          </w:r>
        </w:fldSimple>
      </w:p>
    </w:sdtContent>
  </w:sdt>
  <w:p w:rsidR="007821DF" w:rsidRDefault="007821DF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1D1C" w:rsidRDefault="00E01D1C" w:rsidP="007821DF">
      <w:pPr>
        <w:spacing w:after="0" w:line="240" w:lineRule="auto"/>
      </w:pPr>
      <w:r>
        <w:separator/>
      </w:r>
    </w:p>
  </w:footnote>
  <w:footnote w:type="continuationSeparator" w:id="1">
    <w:p w:rsidR="00E01D1C" w:rsidRDefault="00E01D1C" w:rsidP="007821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A4A39"/>
    <w:multiLevelType w:val="hybridMultilevel"/>
    <w:tmpl w:val="119AAF60"/>
    <w:lvl w:ilvl="0" w:tplc="69A43E50">
      <w:start w:val="3"/>
      <w:numFmt w:val="bullet"/>
      <w:lvlText w:val="-"/>
      <w:lvlJc w:val="left"/>
      <w:pPr>
        <w:ind w:left="720" w:hanging="360"/>
      </w:pPr>
      <w:rPr>
        <w:rFonts w:ascii="Simplified Arabic" w:eastAsiaTheme="minorEastAsia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AB7F44"/>
    <w:multiLevelType w:val="hybridMultilevel"/>
    <w:tmpl w:val="E7403520"/>
    <w:lvl w:ilvl="0" w:tplc="AFD4FE4A">
      <w:start w:val="1"/>
      <w:numFmt w:val="decimal"/>
      <w:lvlText w:val="%1-"/>
      <w:lvlJc w:val="left"/>
      <w:pPr>
        <w:ind w:left="900" w:hanging="54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068EA"/>
    <w:multiLevelType w:val="hybridMultilevel"/>
    <w:tmpl w:val="3E469232"/>
    <w:lvl w:ilvl="0" w:tplc="EB98D386">
      <w:start w:val="1"/>
      <w:numFmt w:val="bullet"/>
      <w:lvlText w:val=""/>
      <w:lvlJc w:val="left"/>
      <w:pPr>
        <w:ind w:left="302" w:hanging="360"/>
      </w:pPr>
      <w:rPr>
        <w:rFonts w:ascii="Symbol" w:eastAsiaTheme="minorEastAsia" w:hAnsi="Symbol" w:cs="Simplified Arabic" w:hint="default"/>
        <w:b/>
      </w:rPr>
    </w:lvl>
    <w:lvl w:ilvl="1" w:tplc="040C0003" w:tentative="1">
      <w:start w:val="1"/>
      <w:numFmt w:val="bullet"/>
      <w:lvlText w:val="o"/>
      <w:lvlJc w:val="left"/>
      <w:pPr>
        <w:ind w:left="10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</w:abstractNum>
  <w:abstractNum w:abstractNumId="3">
    <w:nsid w:val="6A4C454C"/>
    <w:multiLevelType w:val="hybridMultilevel"/>
    <w:tmpl w:val="C41E4B24"/>
    <w:lvl w:ilvl="0" w:tplc="A858DB26">
      <w:start w:val="1"/>
      <w:numFmt w:val="decimal"/>
      <w:lvlText w:val="%1-"/>
      <w:lvlJc w:val="left"/>
      <w:pPr>
        <w:ind w:left="3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22" w:hanging="360"/>
      </w:pPr>
    </w:lvl>
    <w:lvl w:ilvl="2" w:tplc="040C001B" w:tentative="1">
      <w:start w:val="1"/>
      <w:numFmt w:val="lowerRoman"/>
      <w:lvlText w:val="%3."/>
      <w:lvlJc w:val="right"/>
      <w:pPr>
        <w:ind w:left="1742" w:hanging="180"/>
      </w:pPr>
    </w:lvl>
    <w:lvl w:ilvl="3" w:tplc="040C000F" w:tentative="1">
      <w:start w:val="1"/>
      <w:numFmt w:val="decimal"/>
      <w:lvlText w:val="%4."/>
      <w:lvlJc w:val="left"/>
      <w:pPr>
        <w:ind w:left="2462" w:hanging="360"/>
      </w:pPr>
    </w:lvl>
    <w:lvl w:ilvl="4" w:tplc="040C0019" w:tentative="1">
      <w:start w:val="1"/>
      <w:numFmt w:val="lowerLetter"/>
      <w:lvlText w:val="%5."/>
      <w:lvlJc w:val="left"/>
      <w:pPr>
        <w:ind w:left="3182" w:hanging="360"/>
      </w:pPr>
    </w:lvl>
    <w:lvl w:ilvl="5" w:tplc="040C001B" w:tentative="1">
      <w:start w:val="1"/>
      <w:numFmt w:val="lowerRoman"/>
      <w:lvlText w:val="%6."/>
      <w:lvlJc w:val="right"/>
      <w:pPr>
        <w:ind w:left="3902" w:hanging="180"/>
      </w:pPr>
    </w:lvl>
    <w:lvl w:ilvl="6" w:tplc="040C000F" w:tentative="1">
      <w:start w:val="1"/>
      <w:numFmt w:val="decimal"/>
      <w:lvlText w:val="%7."/>
      <w:lvlJc w:val="left"/>
      <w:pPr>
        <w:ind w:left="4622" w:hanging="360"/>
      </w:pPr>
    </w:lvl>
    <w:lvl w:ilvl="7" w:tplc="040C0019" w:tentative="1">
      <w:start w:val="1"/>
      <w:numFmt w:val="lowerLetter"/>
      <w:lvlText w:val="%8."/>
      <w:lvlJc w:val="left"/>
      <w:pPr>
        <w:ind w:left="5342" w:hanging="360"/>
      </w:pPr>
    </w:lvl>
    <w:lvl w:ilvl="8" w:tplc="040C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46D47"/>
    <w:rsid w:val="00002AA6"/>
    <w:rsid w:val="000263BC"/>
    <w:rsid w:val="00034F52"/>
    <w:rsid w:val="000507C0"/>
    <w:rsid w:val="000657A4"/>
    <w:rsid w:val="000E270B"/>
    <w:rsid w:val="000F0B6A"/>
    <w:rsid w:val="000F1C87"/>
    <w:rsid w:val="00107C9D"/>
    <w:rsid w:val="001220EB"/>
    <w:rsid w:val="00127C33"/>
    <w:rsid w:val="00131636"/>
    <w:rsid w:val="001374B5"/>
    <w:rsid w:val="00185F05"/>
    <w:rsid w:val="001C1657"/>
    <w:rsid w:val="00222E12"/>
    <w:rsid w:val="002357C9"/>
    <w:rsid w:val="002F0AD4"/>
    <w:rsid w:val="0032059B"/>
    <w:rsid w:val="003D51BC"/>
    <w:rsid w:val="003E2399"/>
    <w:rsid w:val="004343B5"/>
    <w:rsid w:val="0048661A"/>
    <w:rsid w:val="004B2E13"/>
    <w:rsid w:val="004F5A9C"/>
    <w:rsid w:val="005B3BD2"/>
    <w:rsid w:val="005F2AAE"/>
    <w:rsid w:val="00636429"/>
    <w:rsid w:val="006859D3"/>
    <w:rsid w:val="006A208B"/>
    <w:rsid w:val="006C118E"/>
    <w:rsid w:val="00766DE6"/>
    <w:rsid w:val="007821DF"/>
    <w:rsid w:val="007874A5"/>
    <w:rsid w:val="00835E51"/>
    <w:rsid w:val="0087731F"/>
    <w:rsid w:val="00933B0B"/>
    <w:rsid w:val="00946D47"/>
    <w:rsid w:val="00A45FEE"/>
    <w:rsid w:val="00A536DE"/>
    <w:rsid w:val="00A56F42"/>
    <w:rsid w:val="00AA5286"/>
    <w:rsid w:val="00AB0CFE"/>
    <w:rsid w:val="00B1093A"/>
    <w:rsid w:val="00B631DA"/>
    <w:rsid w:val="00B73E73"/>
    <w:rsid w:val="00BD3A14"/>
    <w:rsid w:val="00C60013"/>
    <w:rsid w:val="00CC2CAE"/>
    <w:rsid w:val="00D42756"/>
    <w:rsid w:val="00D548DC"/>
    <w:rsid w:val="00D55FEF"/>
    <w:rsid w:val="00DC340F"/>
    <w:rsid w:val="00DC36ED"/>
    <w:rsid w:val="00E01D1C"/>
    <w:rsid w:val="00E409F9"/>
    <w:rsid w:val="00F353D1"/>
    <w:rsid w:val="00F5497B"/>
    <w:rsid w:val="00F60BA5"/>
    <w:rsid w:val="00F95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39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E270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7821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821DF"/>
  </w:style>
  <w:style w:type="paragraph" w:styleId="Pieddepage">
    <w:name w:val="footer"/>
    <w:basedOn w:val="Normal"/>
    <w:link w:val="PieddepageCar"/>
    <w:uiPriority w:val="99"/>
    <w:unhideWhenUsed/>
    <w:rsid w:val="007821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821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4AFA3-B65E-41D0-9B2A-C68A1959A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</dc:creator>
  <cp:lastModifiedBy>UTILISAT</cp:lastModifiedBy>
  <cp:revision>2</cp:revision>
  <dcterms:created xsi:type="dcterms:W3CDTF">2026-04-24T19:33:00Z</dcterms:created>
  <dcterms:modified xsi:type="dcterms:W3CDTF">2026-04-24T19:33:00Z</dcterms:modified>
</cp:coreProperties>
</file>