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BD2C" w14:textId="6FA9C2E3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>INDICATORS FOR MEASURING FOOD SECURITY</w:t>
      </w:r>
    </w:p>
    <w:p w14:paraId="7E933D00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C5729A" w14:textId="0358BE90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multidimensional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concept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precise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reliable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populations,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time.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the Food and Agriculture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exists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all people, at all times, have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social,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sufficient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nutritious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for an active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life.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encompasses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no single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metric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adequately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capture the full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picture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 set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complementary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46CA431B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For agricultural engineering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essential.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design irrigation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technologies, and digital platforms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measurable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interventions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familiarity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at local, national, and global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587D2F62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This course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comprehensive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overview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the major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explaining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conceptual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basis,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methods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calculation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interpretation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, and engineering relevance.</w:t>
      </w:r>
    </w:p>
    <w:p w14:paraId="558FB4DE" w14:textId="71982D05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51A8291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Conceptual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Framework for Food Security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Measurement</w:t>
      </w:r>
      <w:proofErr w:type="spellEnd"/>
    </w:p>
    <w:p w14:paraId="650FA6F3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grounded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four </w:t>
      </w:r>
      <w:proofErr w:type="spellStart"/>
      <w:proofErr w:type="gramStart"/>
      <w:r w:rsidRPr="00D27C7F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pillar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distinct but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2484B3E9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production,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stock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Access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focus 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purchasing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power.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crises,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11F6C03F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International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organizations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the Food and Agriculture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the World Food Programme, the World Health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the World Bank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employ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combinations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monitor global and 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conditions.</w:t>
      </w:r>
    </w:p>
    <w:p w14:paraId="4239F91E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For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serve as benchmarks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impact of infrastructure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irrigation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technologies, and production innovations.</w:t>
      </w:r>
    </w:p>
    <w:p w14:paraId="4516D1A2" w14:textId="76041B1D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775169C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of Food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Availability</w:t>
      </w:r>
      <w:proofErr w:type="spellEnd"/>
    </w:p>
    <w:p w14:paraId="01F12196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presence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region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or country.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quantitative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dimension.</w:t>
      </w:r>
    </w:p>
    <w:p w14:paraId="1AA232D7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One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fundamental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per capita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expressed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kilocalories per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derived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balance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sheets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account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production, imports, exports, and stock changes. A per capita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minimum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requirements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signals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at the 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5B851030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lastRenderedPageBreak/>
        <w:t>Cereal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kilograms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per hectare,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key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reflects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advancement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production.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trends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reveal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impact of irrigation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fertilizer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use,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water management,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conservation,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agriculture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1ACAE71E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self-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sufficiency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ratio,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divided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A ratio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100 percent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reliance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on imports. This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relevant for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staple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crops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wheat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maize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on national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ratio by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75113007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percentage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occurring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harvesting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transportation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effective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Technologies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hermetic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cold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controlled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atmosphere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metric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2F6C7D59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Stock-to-use ratio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amount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reserves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relative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annual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Higher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ratios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enhance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contributing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70117C19" w14:textId="169122F2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9D2B0D5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of Food Access</w:t>
      </w:r>
    </w:p>
    <w:p w14:paraId="52D6CEFE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obtain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economically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physically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Income-based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price-based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are central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dimension.</w:t>
      </w:r>
    </w:p>
    <w:p w14:paraId="15CFCA88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widely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living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international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lines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are more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Complementary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per capita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additional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insight.</w:t>
      </w:r>
    </w:p>
    <w:p w14:paraId="5F99783B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expenditure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proportion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spent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High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expenditure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shares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suggest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unable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absorb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compromising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1DA64B73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indices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track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changes in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cost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staple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over time. The global Food Price Index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by the Food and Agriculture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monitors international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fluctuations. Rapid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populations.</w:t>
      </w:r>
    </w:p>
    <w:p w14:paraId="0FA9305B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Access Scale (HFIAS)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survey-based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captures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compromise,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intake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qualitative insights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challenges.</w:t>
      </w:r>
    </w:p>
    <w:p w14:paraId="68B0C1A9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For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infrastructure, transportation networks, and digital marketing platforms can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transaction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60026FD9" w14:textId="58F657AF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889B08C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of Food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Utilization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and Nutrition</w:t>
      </w:r>
    </w:p>
    <w:p w14:paraId="3546C719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lastRenderedPageBreak/>
        <w:t>Utilization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consumed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translates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adequate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nutrition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7750D48F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Prevalence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Undernourishment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PoU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estimates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proportion of a population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whose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habitual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consumption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insufficient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for a normal active life. This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widely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cited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72F760EA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Anthropometric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children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stunting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height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for-age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wasting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-for-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height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),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underweight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for-age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acute malnutrition conditions.</w:t>
      </w:r>
    </w:p>
    <w:p w14:paraId="174DF1AA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Diversity Score (DDS)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consumed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over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reference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period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Higher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associated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micronutrient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adequacy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243CB597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Micronutrient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deficiency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prevalence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iron-deficiency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anemia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vitamin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deficiency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additional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insight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480F297D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incidence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foodborne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illnesses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effectiveness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hygiene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Engineering interventions in cold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design, packaging, and water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sanitation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08B76CC4" w14:textId="7D8EB022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FD45232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Vulnerability</w:t>
      </w:r>
      <w:proofErr w:type="spellEnd"/>
    </w:p>
    <w:p w14:paraId="0F6254CF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reliability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over time.</w:t>
      </w:r>
    </w:p>
    <w:p w14:paraId="4A5C3A6D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One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production,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calculated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the standard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deviation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production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over multiple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High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4F3A4E66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Import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dependency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ratio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proportion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obtained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imports. While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enhance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excessive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dependence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global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volatility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0ADE80FD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indices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droughts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floods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extremes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high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infrastructure and adaptive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15072CE6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indices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as disruptions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chains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severely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affect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4F5235DE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Early warning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the Integrated Food Security Phase Classification (IPC),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categorize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severity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phases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ranging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minimal to famine.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classifications support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rapid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planning.</w:t>
      </w:r>
    </w:p>
    <w:p w14:paraId="1FE955F9" w14:textId="47758834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5940081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6. Composite Indices and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Multidimensional</w:t>
      </w:r>
      <w:proofErr w:type="spellEnd"/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 Measures</w:t>
      </w:r>
    </w:p>
    <w:p w14:paraId="29E446E8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no single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captures all dimensions, composite indices have been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3580F74B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lastRenderedPageBreak/>
        <w:t xml:space="preserve">The Global Hunger Index (GHI),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by the International Food Policy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Institute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partners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combines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undernourishment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child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wasting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child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stunting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child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mortality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single score. It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comparative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overview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national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hunger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2F9BB6E3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The 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Scale (FIES),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by the Food and Agriculture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severity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at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survey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03C3F69D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The Global Food Security Index (GFSI),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developed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by the Economist Impact,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affordability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countries.</w:t>
      </w:r>
    </w:p>
    <w:p w14:paraId="0FD897D7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Composite indices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allow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policymakers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researchers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track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trends and compare countries, but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mask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local variations.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complement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national indices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field-level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data.</w:t>
      </w:r>
    </w:p>
    <w:p w14:paraId="0345CC6E" w14:textId="66080734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7C049B7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7. Engineering Relevance of Food Security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Indicators</w:t>
      </w:r>
      <w:proofErr w:type="spellEnd"/>
    </w:p>
    <w:p w14:paraId="16D8BC57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measurable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guide engineering interventions. For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rates are high,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infrastructure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becomes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If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stagnate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irrigation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fertility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management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13BE0B55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water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kilograms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cubic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meter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water) are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relevant to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enhances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7CC5786B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Energy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impact. Monitoring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carbon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footprints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aligns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goals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3EA99815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Digital monitoring platforms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integrate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remote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sensing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data,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estimates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information enable real-time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tracking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accuracy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responsiveness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0B3C372C" w14:textId="5D0943A9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01D48C9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 xml:space="preserve">8. Limitations and Challenges in </w:t>
      </w:r>
      <w:proofErr w:type="spellStart"/>
      <w:r w:rsidRPr="00D27C7F">
        <w:rPr>
          <w:rFonts w:asciiTheme="majorBidi" w:hAnsiTheme="majorBidi" w:cstheme="majorBidi"/>
          <w:b/>
          <w:bCs/>
          <w:sz w:val="24"/>
          <w:szCs w:val="24"/>
        </w:rPr>
        <w:t>Measurement</w:t>
      </w:r>
      <w:proofErr w:type="spellEnd"/>
    </w:p>
    <w:p w14:paraId="1E7E0A88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While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are essential,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have limitations. National-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intra-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inequalities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 Survey-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subject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recall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bias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Data gaps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reliability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6466D022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t>Moreover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Seasonal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variations,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sudden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rapidly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alter conditions.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continuous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monitoring and multi-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approaches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574B8231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interventions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multiple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complementary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relying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on a single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metric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06CE637A" w14:textId="02F71C9E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6CAF259" w14:textId="77777777" w:rsidR="00D27C7F" w:rsidRPr="00D27C7F" w:rsidRDefault="00D27C7F" w:rsidP="00D27C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7C7F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22C00E8F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7C7F">
        <w:rPr>
          <w:rFonts w:asciiTheme="majorBidi" w:hAnsiTheme="majorBidi" w:cstheme="majorBidi"/>
          <w:sz w:val="24"/>
          <w:szCs w:val="24"/>
        </w:rPr>
        <w:lastRenderedPageBreak/>
        <w:t>Measuring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comprehensive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framework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captures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per capita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cereal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rate,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prevalence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undernourishment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production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insights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aspects of the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system.</w:t>
      </w:r>
    </w:p>
    <w:p w14:paraId="3CFB4FB4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Composite indices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as the Global Hunger Index and the Food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Scale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broader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assessments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but must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interpreted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alongside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detailed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context-specific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data.</w:t>
      </w:r>
    </w:p>
    <w:p w14:paraId="102D785F" w14:textId="77777777" w:rsidR="00D27C7F" w:rsidRPr="00D27C7F" w:rsidRDefault="00D27C7F" w:rsidP="00D27C7F">
      <w:pPr>
        <w:jc w:val="both"/>
        <w:rPr>
          <w:rFonts w:asciiTheme="majorBidi" w:hAnsiTheme="majorBidi" w:cstheme="majorBidi"/>
          <w:sz w:val="24"/>
          <w:szCs w:val="24"/>
        </w:rPr>
      </w:pPr>
      <w:r w:rsidRPr="00D27C7F">
        <w:rPr>
          <w:rFonts w:asciiTheme="majorBidi" w:hAnsiTheme="majorBidi" w:cstheme="majorBidi"/>
          <w:sz w:val="24"/>
          <w:szCs w:val="24"/>
        </w:rPr>
        <w:t xml:space="preserve">For agricultural engineering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mastery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crucial for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implementing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evaluating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interventions. Engineering solutions must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ultimately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translate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measurable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reduced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enhanced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nutrition,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aligning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innovation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well-defined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indicators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, agricultural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to building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7C7F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7C7F">
        <w:rPr>
          <w:rFonts w:asciiTheme="majorBidi" w:hAnsiTheme="majorBidi" w:cstheme="majorBidi"/>
          <w:sz w:val="24"/>
          <w:szCs w:val="24"/>
        </w:rPr>
        <w:t>.</w:t>
      </w:r>
    </w:p>
    <w:p w14:paraId="79462C3F" w14:textId="77777777" w:rsidR="006E5417" w:rsidRPr="00D27C7F" w:rsidRDefault="006E5417" w:rsidP="00D27C7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E5417" w:rsidRPr="00D2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7F"/>
    <w:rsid w:val="002B0B05"/>
    <w:rsid w:val="00683F27"/>
    <w:rsid w:val="006E5417"/>
    <w:rsid w:val="00C04785"/>
    <w:rsid w:val="00D2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21B4"/>
  <w15:chartTrackingRefBased/>
  <w15:docId w15:val="{861061CE-A504-4997-BD96-F832777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C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C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C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C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C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C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C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7C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C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C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1794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2026-02-23T17:01:00Z</dcterms:created>
  <dcterms:modified xsi:type="dcterms:W3CDTF">2026-02-23T17:03:00Z</dcterms:modified>
</cp:coreProperties>
</file>