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19C8" w14:textId="26C41EFE" w:rsidR="00C66832" w:rsidRPr="00C66832" w:rsidRDefault="00C66832" w:rsidP="00C668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THE STATE OF FOOD SECURITY IN THE WORLD</w:t>
      </w:r>
    </w:p>
    <w:p w14:paraId="232D2B3A" w14:textId="366B2E68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16E00CEA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one of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pressing global challenges of the 21st century.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Despite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advances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agricultural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malnutrition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persist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the Food and Agriculture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exists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all people, at all times, have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social,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sufficient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nutritious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for an active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healthy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life.</w:t>
      </w:r>
    </w:p>
    <w:p w14:paraId="2C5C335E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Globally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the state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shaped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by a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interaction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constraints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demographic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pressures,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capacity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governance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structures,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change. For agricultural engineering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global situation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essential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engineering solutions—irrigation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technologies,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digital agriculture, and infrastructure—are central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system performance.</w:t>
      </w:r>
    </w:p>
    <w:p w14:paraId="682B6620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This course examines the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four </w:t>
      </w:r>
      <w:proofErr w:type="spellStart"/>
      <w:proofErr w:type="gramStart"/>
      <w:r w:rsidRPr="00C66832">
        <w:rPr>
          <w:rFonts w:asciiTheme="majorBidi" w:hAnsiTheme="majorBidi" w:cstheme="majorBidi"/>
          <w:sz w:val="24"/>
          <w:szCs w:val="24"/>
        </w:rPr>
        <w:t>pillars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highlighting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trends, structural challenges, and the engineering implications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realities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63F9D6AE" w14:textId="4CE5AFAB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2ADB120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1. Global Hunger and Malnutrition Trends</w:t>
      </w:r>
    </w:p>
    <w:p w14:paraId="5C70B8EB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Over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decades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declined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1990 and 2015.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slowed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and,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reversed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assessments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by the Food and Agriculture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the World Food Programme, and the World Health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indicate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hundreds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millions of people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worldwide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undernourished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6B72F439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The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enough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calories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feed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global population,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distribution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inequalities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barriers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universal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In addition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undernourishment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the world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faces a “triple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burden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” of </w:t>
      </w:r>
      <w:proofErr w:type="gramStart"/>
      <w:r w:rsidRPr="00C66832">
        <w:rPr>
          <w:rFonts w:asciiTheme="majorBidi" w:hAnsiTheme="majorBidi" w:cstheme="majorBidi"/>
          <w:sz w:val="24"/>
          <w:szCs w:val="24"/>
        </w:rPr>
        <w:t>malnutrition:</w:t>
      </w:r>
      <w:proofErr w:type="gramEnd"/>
    </w:p>
    <w:p w14:paraId="34103248" w14:textId="77777777" w:rsidR="00C66832" w:rsidRPr="00C66832" w:rsidRDefault="00C66832" w:rsidP="00C66832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Undernutrition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stunting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wasting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underweight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)</w:t>
      </w:r>
    </w:p>
    <w:p w14:paraId="6C65CC7F" w14:textId="77777777" w:rsidR="00C66832" w:rsidRPr="00C66832" w:rsidRDefault="00C66832" w:rsidP="00C66832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Micronutrient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deficiencies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hidden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)</w:t>
      </w:r>
    </w:p>
    <w:p w14:paraId="186303E6" w14:textId="77777777" w:rsidR="00C66832" w:rsidRPr="00C66832" w:rsidRDefault="00C66832" w:rsidP="00C66832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Overweight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obesity</w:t>
      </w:r>
      <w:proofErr w:type="spellEnd"/>
    </w:p>
    <w:p w14:paraId="2999476D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While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undernutrition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prevalent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parts of Sub-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Saharan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Africa and South Asia,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obesity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diet-related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non-communicable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middle-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countries. This dual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burden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highlights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solely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about production volume but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system structure.</w:t>
      </w:r>
    </w:p>
    <w:p w14:paraId="7855F543" w14:textId="22911235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4AF1549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2. Food </w:t>
      </w:r>
      <w:proofErr w:type="spellStart"/>
      <w:proofErr w:type="gramStart"/>
      <w:r w:rsidRPr="00C66832">
        <w:rPr>
          <w:rFonts w:asciiTheme="majorBidi" w:hAnsiTheme="majorBidi" w:cstheme="majorBidi"/>
          <w:b/>
          <w:bCs/>
          <w:sz w:val="24"/>
          <w:szCs w:val="24"/>
        </w:rPr>
        <w:t>Availability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Production and Resource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Constraints</w:t>
      </w:r>
      <w:proofErr w:type="spellEnd"/>
    </w:p>
    <w:p w14:paraId="1BD0546F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2.1 Global Agricultural Production</w:t>
      </w:r>
    </w:p>
    <w:p w14:paraId="2243E1AB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lastRenderedPageBreak/>
        <w:t xml:space="preserve">Global agricultural production has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varieties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fertilizer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use, and irrigation expansion. Major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cereal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China, India, the United States, and Brazil—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substantial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share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global grain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21353191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production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slowed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plateaus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degradation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Land expansion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areas due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constraints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urbanization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10BB565B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Cereal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globally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disparities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persist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high-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countries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African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countries,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averages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irrigation,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fertilizer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use,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restricted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7DEC89E4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2.2 Land and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Soil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Degradation</w:t>
      </w:r>
      <w:proofErr w:type="spellEnd"/>
    </w:p>
    <w:p w14:paraId="7672EFCD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An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estimated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portion of global agricultural land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affected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degradation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erosion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salinization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depletion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compaction.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degradation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drought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flooding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326694F8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Agricultural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conservation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erosion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control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management, and conservation tillage technologies.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intensification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essential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output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further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damage.</w:t>
      </w:r>
    </w:p>
    <w:p w14:paraId="246DAD8F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2.3 Water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Scarcity</w:t>
      </w:r>
      <w:proofErr w:type="spellEnd"/>
    </w:p>
    <w:p w14:paraId="1EA81B05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Agriculture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accounts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approximately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70% of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freshwater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withdrawals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Increasing water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scarcity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threatens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arid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semi-arid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Groundwater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depletion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severe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parts of South Asia, the Middle East, and North Africa.</w:t>
      </w:r>
    </w:p>
    <w:p w14:paraId="32216104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change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exacerbates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water stress by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altering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patterns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evapotranspiration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rates. Efficient irrigation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drip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sprinkler technologies,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engineering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responses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constraints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459393E5" w14:textId="327441FD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99D8FEF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3. Food </w:t>
      </w:r>
      <w:proofErr w:type="gramStart"/>
      <w:r w:rsidRPr="00C66832">
        <w:rPr>
          <w:rFonts w:asciiTheme="majorBidi" w:hAnsiTheme="majorBidi" w:cstheme="majorBidi"/>
          <w:b/>
          <w:bCs/>
          <w:sz w:val="24"/>
          <w:szCs w:val="24"/>
        </w:rPr>
        <w:t>Access:</w:t>
      </w:r>
      <w:proofErr w:type="gram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and Social Dimensions</w:t>
      </w:r>
    </w:p>
    <w:p w14:paraId="3CA79233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Even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at the national or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one of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strongest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determinants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03A08838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3.1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Income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Inequality</w:t>
      </w:r>
      <w:proofErr w:type="spellEnd"/>
    </w:p>
    <w:p w14:paraId="40969014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inequality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limits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nutritious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countries,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spend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rise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poor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quantity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6B2230E5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volatility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periodically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triggered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crises. International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spikes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staple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commodities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rapidly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import-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dependent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countries.</w:t>
      </w:r>
    </w:p>
    <w:p w14:paraId="19BAB509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3.2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Urbanization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and Food Access</w:t>
      </w:r>
    </w:p>
    <w:p w14:paraId="2ABFC6DA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More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world’s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population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areas. Urban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depends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heavily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 efficient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cold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transportation infrastructure,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1A3C75F6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lastRenderedPageBreak/>
        <w:t xml:space="preserve">Urban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deserts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—areas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affordable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fresh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exist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countries.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logistics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optimization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cold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expansion, and vertical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farming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technologies.</w:t>
      </w:r>
    </w:p>
    <w:p w14:paraId="1C860CE6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3.3 Trade and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Globalization</w:t>
      </w:r>
      <w:proofErr w:type="spellEnd"/>
    </w:p>
    <w:p w14:paraId="5DA9A5AD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International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enhances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Countries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heavily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dependent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imports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exposed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fluctuations,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geopolitical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tensions,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disruptions.</w:t>
      </w:r>
    </w:p>
    <w:p w14:paraId="5045BAAF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disruptions to global grain exports have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highlighted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fragility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Diversification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sources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strengthening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strategic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responses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1E17A770" w14:textId="31144C5F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C7F41B1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4. Food </w:t>
      </w:r>
      <w:proofErr w:type="spellStart"/>
      <w:proofErr w:type="gramStart"/>
      <w:r w:rsidRPr="00C66832">
        <w:rPr>
          <w:rFonts w:asciiTheme="majorBidi" w:hAnsiTheme="majorBidi" w:cstheme="majorBidi"/>
          <w:b/>
          <w:bCs/>
          <w:sz w:val="24"/>
          <w:szCs w:val="24"/>
        </w:rPr>
        <w:t>Utilization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Nutrition, Health, and Food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Safety</w:t>
      </w:r>
      <w:proofErr w:type="spellEnd"/>
    </w:p>
    <w:p w14:paraId="0907DA27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reflects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value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consumed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body’s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absorb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nutrients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This dimension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closely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linked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sanitation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0D48BC26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4.1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Undernutrition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and Child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Growth</w:t>
      </w:r>
      <w:proofErr w:type="spellEnd"/>
    </w:p>
    <w:p w14:paraId="3A66B733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Stunting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height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for-age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wasting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weight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-for-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height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challenges in parts of Africa and South Asia.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conditions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chronic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acute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respectively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118EFE9D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Micronutrient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deficiencies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iron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iodine,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vitamin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deficiencies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affect billions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globally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Addressing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deficiencies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diversification, fortification programs,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technologies.</w:t>
      </w:r>
    </w:p>
    <w:p w14:paraId="35CA93C5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4.2 Food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Safety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Challenges</w:t>
      </w:r>
    </w:p>
    <w:p w14:paraId="3793B207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Foodborne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 major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concern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Poor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contamination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inadequate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refrigeration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spoilage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pathogen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382178A1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estimated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account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for a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substantial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proportion of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production. Engineering solutions—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hermetic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bags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cold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—can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771D9A44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4.3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Changing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Diet Patterns</w:t>
      </w:r>
    </w:p>
    <w:p w14:paraId="45B4247B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patterns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shifting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higher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processed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sugar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fats, and animal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While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transition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caloric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intake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contributing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obesity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chronic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2AE84D3D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Engineering innovations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prioritize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nutrient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retention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impact.</w:t>
      </w:r>
    </w:p>
    <w:p w14:paraId="2CE7ECBC" w14:textId="2EB1C15D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871BE63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proofErr w:type="spellStart"/>
      <w:proofErr w:type="gramStart"/>
      <w:r w:rsidRPr="00C66832">
        <w:rPr>
          <w:rFonts w:asciiTheme="majorBidi" w:hAnsiTheme="majorBidi" w:cstheme="majorBidi"/>
          <w:b/>
          <w:bCs/>
          <w:sz w:val="24"/>
          <w:szCs w:val="24"/>
        </w:rPr>
        <w:t>Stability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Shocks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Change, and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Conflict</w:t>
      </w:r>
      <w:proofErr w:type="spellEnd"/>
    </w:p>
    <w:p w14:paraId="1EA1D0DB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withstand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40D622D2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5.1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Change</w:t>
      </w:r>
    </w:p>
    <w:p w14:paraId="7202B425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change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one of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long-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threats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Rising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temperatures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altered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precipitation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patterns,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frequency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extreme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droughts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floods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heatwaves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—affect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livestock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6CC5D1D2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-sensitive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Sub-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Saharan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Africa and parts of South Asia, are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Engineering adaptation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drought-resistant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irrigation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climate-resilient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infrastructure,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early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warning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7C0F5228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5.2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Conflict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Political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Instability</w:t>
      </w:r>
      <w:proofErr w:type="spellEnd"/>
    </w:p>
    <w:p w14:paraId="72CFC5E2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Armed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disrupt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agricultural production, destroy infrastructure,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displace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populations,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interrupt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routes.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Conflict-affected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severe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crises.</w:t>
      </w:r>
    </w:p>
    <w:p w14:paraId="27E76AF6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5.3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Shocks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Pandemics</w:t>
      </w:r>
      <w:proofErr w:type="spellEnd"/>
    </w:p>
    <w:p w14:paraId="73FF1C95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The COVID-19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pandemic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demonstrated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how global disruptions can affect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transport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downturns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purchasing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power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1CF86955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Building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diversified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strategic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reserves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robust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infrastructure.</w:t>
      </w:r>
    </w:p>
    <w:p w14:paraId="00ED9642" w14:textId="72C29A98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5AA142E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6. Regional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Overview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of Food Security</w:t>
      </w:r>
    </w:p>
    <w:p w14:paraId="58D4F703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Sub-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Saharan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Africa</w:t>
      </w:r>
    </w:p>
    <w:p w14:paraId="7D150C45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highest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prevalence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undernourishment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 Rain-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agriculture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dominates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highly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Limited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infrastructure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constrain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2B84BFA2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South Asia</w:t>
      </w:r>
    </w:p>
    <w:p w14:paraId="1EB87A67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Despite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improvements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cereal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production, malnutrition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widespread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Water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scarcity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land fragmentation are persistent challenges.</w:t>
      </w:r>
    </w:p>
    <w:p w14:paraId="263C7F03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Middle East and North Africa</w:t>
      </w:r>
    </w:p>
    <w:p w14:paraId="79E15567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faces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severe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scarcity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high import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dependence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change intensifies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54963CEA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Latin America and East Asia</w:t>
      </w:r>
    </w:p>
    <w:p w14:paraId="22ABB773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have made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though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inequality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pressures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concerns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30A97378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High-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Income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Countries</w:t>
      </w:r>
    </w:p>
    <w:p w14:paraId="6FBFA160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While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high,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inequality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issues lead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localized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rising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obesity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rates.</w:t>
      </w:r>
    </w:p>
    <w:p w14:paraId="259ED776" w14:textId="7453E845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9BC9FCF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7. </w:t>
      </w:r>
      <w:proofErr w:type="spellStart"/>
      <w:r w:rsidRPr="00C66832">
        <w:rPr>
          <w:rFonts w:asciiTheme="majorBidi" w:hAnsiTheme="majorBidi" w:cstheme="majorBidi"/>
          <w:b/>
          <w:bCs/>
          <w:sz w:val="24"/>
          <w:szCs w:val="24"/>
        </w:rPr>
        <w:t>Technological</w:t>
      </w:r>
      <w:proofErr w:type="spellEnd"/>
      <w:r w:rsidRPr="00C66832">
        <w:rPr>
          <w:rFonts w:asciiTheme="majorBidi" w:hAnsiTheme="majorBidi" w:cstheme="majorBidi"/>
          <w:b/>
          <w:bCs/>
          <w:sz w:val="24"/>
          <w:szCs w:val="24"/>
        </w:rPr>
        <w:t xml:space="preserve"> Innovation and Future Outlook</w:t>
      </w:r>
    </w:p>
    <w:p w14:paraId="344BAF27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advancements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agriculture,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artificial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intelligence,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remote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sensing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digital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management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568B34AC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Controlled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agriculture enables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-round production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areas.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Renewable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dependence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fossil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fuels in irrigation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35708B98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adoption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uneven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Bridging the digital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divide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finance and training are essential for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maximizing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benefits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39A80948" w14:textId="520296F3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E78D86F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8. Implications for Agricultural Engineering</w:t>
      </w:r>
    </w:p>
    <w:p w14:paraId="7D140CE3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Agricultural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 central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addressing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challenges. Key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responsibilities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66832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053F5655" w14:textId="77777777" w:rsidR="00C66832" w:rsidRPr="00C66832" w:rsidRDefault="00C66832" w:rsidP="00C66832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efficient irrigation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</w:p>
    <w:p w14:paraId="69DFA3B6" w14:textId="77777777" w:rsidR="00C66832" w:rsidRPr="00C66832" w:rsidRDefault="00C66832" w:rsidP="00C66832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conservation technologies</w:t>
      </w:r>
    </w:p>
    <w:p w14:paraId="43987D18" w14:textId="77777777" w:rsidR="00C66832" w:rsidRPr="00C66832" w:rsidRDefault="00C66832" w:rsidP="00C66832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losses</w:t>
      </w:r>
      <w:proofErr w:type="spellEnd"/>
    </w:p>
    <w:p w14:paraId="4C03E4D9" w14:textId="77777777" w:rsidR="00C66832" w:rsidRPr="00C66832" w:rsidRDefault="00C66832" w:rsidP="00C66832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cold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logistics</w:t>
      </w:r>
      <w:proofErr w:type="spellEnd"/>
    </w:p>
    <w:p w14:paraId="4C6F3E96" w14:textId="77777777" w:rsidR="00C66832" w:rsidRPr="00C66832" w:rsidRDefault="00C66832" w:rsidP="00C66832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Integrating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renewable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</w:p>
    <w:p w14:paraId="62C0CD97" w14:textId="77777777" w:rsidR="00C66832" w:rsidRPr="00C66832" w:rsidRDefault="00C66832" w:rsidP="00C66832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digital monitoring platforms</w:t>
      </w:r>
    </w:p>
    <w:p w14:paraId="199C168A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adopt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recognizing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nature of water,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land,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design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are essential to balance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conservation.</w:t>
      </w:r>
    </w:p>
    <w:p w14:paraId="14196934" w14:textId="4865DA18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DE5A4CB" w14:textId="77777777" w:rsidR="00C66832" w:rsidRPr="00C66832" w:rsidRDefault="00C66832" w:rsidP="00C668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6832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5DEFBC5D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The state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the world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by </w:t>
      </w:r>
      <w:proofErr w:type="gramStart"/>
      <w:r w:rsidRPr="00C66832">
        <w:rPr>
          <w:rFonts w:asciiTheme="majorBidi" w:hAnsiTheme="majorBidi" w:cstheme="majorBidi"/>
          <w:sz w:val="24"/>
          <w:szCs w:val="24"/>
        </w:rPr>
        <w:t>paradoxes:</w:t>
      </w:r>
      <w:proofErr w:type="gram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sufficient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alongside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persistent </w:t>
      </w:r>
      <w:proofErr w:type="spellStart"/>
      <w:proofErr w:type="gramStart"/>
      <w:r w:rsidRPr="00C66832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advancement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alongside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widening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66832">
        <w:rPr>
          <w:rFonts w:asciiTheme="majorBidi" w:hAnsiTheme="majorBidi" w:cstheme="majorBidi"/>
          <w:sz w:val="24"/>
          <w:szCs w:val="24"/>
        </w:rPr>
        <w:t>inequality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alongside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degradation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511A139A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6832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change,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volatility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population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geopolitical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instability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ongoing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challenges. At the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time, engineering innovation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offers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powerful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sustainability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706ED049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For agricultural engineering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landscape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foundational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Effective engineering solutions must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align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the four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pillars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addressing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socio-economic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realities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>.</w:t>
      </w:r>
    </w:p>
    <w:p w14:paraId="66397C73" w14:textId="77777777" w:rsidR="00C66832" w:rsidRPr="00C66832" w:rsidRDefault="00C66832" w:rsidP="00C66832">
      <w:pPr>
        <w:jc w:val="both"/>
        <w:rPr>
          <w:rFonts w:asciiTheme="majorBidi" w:hAnsiTheme="majorBidi" w:cstheme="majorBidi"/>
          <w:sz w:val="24"/>
          <w:szCs w:val="24"/>
        </w:rPr>
      </w:pPr>
      <w:r w:rsidRPr="00C66832">
        <w:rPr>
          <w:rFonts w:asciiTheme="majorBidi" w:hAnsiTheme="majorBidi" w:cstheme="majorBidi"/>
          <w:sz w:val="24"/>
          <w:szCs w:val="24"/>
        </w:rPr>
        <w:t xml:space="preserve">The future of global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depend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producing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but on building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smarter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more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, and more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equitable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shaping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683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C66832">
        <w:rPr>
          <w:rFonts w:asciiTheme="majorBidi" w:hAnsiTheme="majorBidi" w:cstheme="majorBidi"/>
          <w:sz w:val="24"/>
          <w:szCs w:val="24"/>
        </w:rPr>
        <w:t xml:space="preserve"> future.</w:t>
      </w:r>
    </w:p>
    <w:p w14:paraId="62AEB5DE" w14:textId="77777777" w:rsidR="006E5417" w:rsidRPr="00C66832" w:rsidRDefault="006E5417" w:rsidP="00C6683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E5417" w:rsidRPr="00C6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674"/>
    <w:multiLevelType w:val="multilevel"/>
    <w:tmpl w:val="3860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E2A14"/>
    <w:multiLevelType w:val="multilevel"/>
    <w:tmpl w:val="E5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182844">
    <w:abstractNumId w:val="0"/>
  </w:num>
  <w:num w:numId="2" w16cid:durableId="106125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32"/>
    <w:rsid w:val="002B0B05"/>
    <w:rsid w:val="00683F27"/>
    <w:rsid w:val="006E5417"/>
    <w:rsid w:val="00C04785"/>
    <w:rsid w:val="00C6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01F8"/>
  <w15:chartTrackingRefBased/>
  <w15:docId w15:val="{D8FE7AED-EBB5-462C-9B23-EA927D2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6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6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6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6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6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6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6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6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6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6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6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6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68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68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68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68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68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6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6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6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68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68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68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6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68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6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10125</Characters>
  <Application>Microsoft Office Word</Application>
  <DocSecurity>0</DocSecurity>
  <Lines>84</Lines>
  <Paragraphs>23</Paragraphs>
  <ScaleCrop>false</ScaleCrop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2026-02-23T17:12:00Z</dcterms:created>
  <dcterms:modified xsi:type="dcterms:W3CDTF">2026-02-23T17:13:00Z</dcterms:modified>
</cp:coreProperties>
</file>