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margin" w:tblpY="985"/>
        <w:tblW w:w="9464" w:type="dxa"/>
        <w:tblLayout w:type="fixed"/>
        <w:tblLook w:val="04A0"/>
      </w:tblPr>
      <w:tblGrid>
        <w:gridCol w:w="4543"/>
        <w:gridCol w:w="4637"/>
        <w:gridCol w:w="284"/>
      </w:tblGrid>
      <w:tr w:rsidR="004E6403" w:rsidTr="00C27009">
        <w:trPr>
          <w:trHeight w:val="839"/>
        </w:trPr>
        <w:tc>
          <w:tcPr>
            <w:tcW w:w="4543" w:type="dxa"/>
          </w:tcPr>
          <w:p w:rsidR="004E6403" w:rsidRPr="00A66C8D" w:rsidRDefault="004E6403">
            <w:pPr>
              <w:tabs>
                <w:tab w:val="left" w:pos="1572"/>
              </w:tabs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A66C8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التسوية الودية لمنازعات الصفقات العمومية في مرحلة التنفيذ</w:t>
            </w:r>
          </w:p>
        </w:tc>
        <w:tc>
          <w:tcPr>
            <w:tcW w:w="4637" w:type="dxa"/>
          </w:tcPr>
          <w:p w:rsidR="004E6403" w:rsidRPr="00A66C8D" w:rsidRDefault="004E6403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A66C8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التسوية الودية لمنازعات الصفقات العمومية في مرحلة الإبرام</w:t>
            </w:r>
          </w:p>
        </w:tc>
        <w:tc>
          <w:tcPr>
            <w:tcW w:w="284" w:type="dxa"/>
          </w:tcPr>
          <w:p w:rsidR="004E6403" w:rsidRDefault="004E6403">
            <w:pPr>
              <w:jc w:val="center"/>
              <w:rPr>
                <w:rFonts w:cs="Calibri"/>
                <w:sz w:val="32"/>
                <w:szCs w:val="32"/>
              </w:rPr>
            </w:pPr>
          </w:p>
        </w:tc>
      </w:tr>
      <w:tr w:rsidR="004E6403" w:rsidTr="002967CF">
        <w:trPr>
          <w:trHeight w:val="4048"/>
        </w:trPr>
        <w:tc>
          <w:tcPr>
            <w:tcW w:w="4543" w:type="dxa"/>
          </w:tcPr>
          <w:p w:rsidR="00757D69" w:rsidRPr="00A66C8D" w:rsidRDefault="00C27009" w:rsidP="00757D69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تبنى المشرع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في هذه المرحلة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A66C8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الحل الودي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للنزاع الناتج عن </w:t>
            </w:r>
            <w:r w:rsidRPr="00A66C8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التنفيذ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تفاديا للنزاع القضائي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بموجب المواد </w:t>
            </w:r>
            <w:r w:rsidR="00CF29A9"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87، 88، 89 من القانون23/12 و التي تقابلها المواد 153، 154، 155 من المرسوم الرئاسي 15/247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7234DC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757D69"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و بالتالي إلتزام المصلحة المتعاقدة </w:t>
            </w:r>
            <w:r w:rsidR="00757D6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="00757D69"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محصور</w:t>
            </w:r>
            <w:r w:rsidR="00757D6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في المنازعات التي تحدث أثناء </w:t>
            </w:r>
            <w:r w:rsidR="00757D69"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تنفيذ الصفقة</w:t>
            </w:r>
            <w:r w:rsidR="00757D6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العمومية مما يعني أنها غير معنية بهذا الإلتزام بمناسبة المنازعات التي تحدث قبل إبرام الصفقة أو بعد غلق الصفقة.</w:t>
            </w:r>
            <w:r w:rsidR="009A6F14" w:rsidRPr="009A6F1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 ن</w:t>
            </w:r>
          </w:p>
          <w:p w:rsidR="004E6403" w:rsidRPr="00A66C8D" w:rsidRDefault="004E6403" w:rsidP="00757D69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4637" w:type="dxa"/>
          </w:tcPr>
          <w:p w:rsidR="004E6403" w:rsidRPr="00A66C8D" w:rsidRDefault="00C27009" w:rsidP="00370A4E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كرس المشرع الجزائري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في هذه المرحلة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حق ممارسة</w:t>
            </w:r>
            <w:r w:rsidRPr="00A66C8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الطعن 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في قرارات المصلحة المتعاقدة من خلال نص المادة </w:t>
            </w:r>
            <w:r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56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من القانون 23/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12 </w:t>
            </w:r>
            <w:r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و كذا المادة 82 من المرسوم الرئاسي 15/247 </w:t>
            </w:r>
            <w:r w:rsidR="006E2AD6" w:rsidRPr="006E2AD6">
              <w:rPr>
                <w:rFonts w:ascii="Sakkal Majalla" w:hAnsi="Sakkal Majalla" w:cs="Sakkal Majalla" w:hint="cs"/>
                <w:sz w:val="28"/>
                <w:szCs w:val="28"/>
                <w:rtl/>
              </w:rPr>
              <w:t>جاعلا</w:t>
            </w:r>
            <w:r w:rsidRPr="006E2AD6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منه حل داخلي حتى لا يصل النزاع إلى القضاء بهدف كفالة حماية المتعهد من التجاوزات الواقعة في حقه</w:t>
            </w:r>
            <w:r w:rsidRPr="006E2A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</w:t>
            </w:r>
            <w:r w:rsidR="006E2AD6" w:rsidRPr="006E2AD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1ن</w:t>
            </w:r>
          </w:p>
          <w:p w:rsidR="00CF29A9" w:rsidRPr="00A66C8D" w:rsidRDefault="00CF29A9" w:rsidP="00370A4E">
            <w:pPr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و هو  طعن </w:t>
            </w:r>
            <w:r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إداري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و ليس قضائي، كما أنه يختلف عن الطعن الإداري المنصوص عليه في قانون الإجراءات المدنية و الإدارية.</w:t>
            </w:r>
            <w:r w:rsidR="008F5BDE" w:rsidRPr="008F5BD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0.5</w:t>
            </w:r>
            <w:r w:rsidR="0037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                                                         </w:t>
            </w:r>
          </w:p>
        </w:tc>
        <w:tc>
          <w:tcPr>
            <w:tcW w:w="284" w:type="dxa"/>
            <w:vMerge w:val="restart"/>
          </w:tcPr>
          <w:p w:rsidR="004E6403" w:rsidRDefault="004E6403">
            <w:pPr>
              <w:rPr>
                <w:rFonts w:cs="Calibri"/>
                <w:sz w:val="32"/>
                <w:szCs w:val="32"/>
              </w:rPr>
            </w:pPr>
          </w:p>
        </w:tc>
      </w:tr>
      <w:tr w:rsidR="004E6403" w:rsidTr="00C27009">
        <w:trPr>
          <w:trHeight w:val="84"/>
        </w:trPr>
        <w:tc>
          <w:tcPr>
            <w:tcW w:w="4543" w:type="dxa"/>
          </w:tcPr>
          <w:p w:rsidR="004E6403" w:rsidRPr="009A6F14" w:rsidRDefault="00C27009" w:rsidP="00CF29A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DZ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إجراء وجوبي</w:t>
            </w:r>
            <w:r w:rsidR="007234DC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يفرض على المصلحة المتعاقدة قبل إحالة النزاع على القضاء و هذه الوجوبية يجب أن تكرس في دفاتر الشروط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بمعنى آخر المشرع 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قيد حق </w:t>
            </w:r>
            <w:r w:rsidR="00CF29A9" w:rsidRPr="002967CF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المصلحة المتعاقدة 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في اللجوء إلى القضاء بسبق البحث عن تسوية ودية للنزاع الذي يربطها </w:t>
            </w:r>
            <w:r w:rsidR="00CF29A9" w:rsidRPr="002967CF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بالمتعامل المتعاقد </w:t>
            </w:r>
            <w:r w:rsidR="00CF29A9"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و أوجب عليها البحث عن حل ودي للنزاعات التي تثور بينهما أثناء تنفيذ الصفقة العمومية</w:t>
            </w:r>
            <w:r w:rsidR="009A6F1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 xml:space="preserve">0.5 </w:t>
            </w:r>
          </w:p>
        </w:tc>
        <w:tc>
          <w:tcPr>
            <w:tcW w:w="4637" w:type="dxa"/>
          </w:tcPr>
          <w:p w:rsidR="004E6403" w:rsidRPr="00A66C8D" w:rsidRDefault="006879CF" w:rsidP="00297DB0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هذا الطعن </w:t>
            </w:r>
            <w:r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جوازي أو</w:t>
            </w:r>
            <w:r w:rsidR="00C27009"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اختياري</w:t>
            </w:r>
            <w:r w:rsidR="00C27009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على أساس عبارة " </w:t>
            </w:r>
            <w:r w:rsidR="00C27009"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يمكن"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و من ثمة يمكن تجاهل مرحلة الطعن لعدم إجباريته و اللجوء مباشرة للقضاء لمخاصمة القرارات المتخذة أثناء مرحلة الإبرام</w:t>
            </w:r>
            <w:r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.</w:t>
            </w:r>
            <w:r w:rsidR="008F5BDE" w:rsidRPr="008F5BD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0.5</w:t>
            </w:r>
          </w:p>
          <w:p w:rsidR="000F3E62" w:rsidRPr="008F5BDE" w:rsidRDefault="000F3E62" w:rsidP="00297DB0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و الشخص المخول له تقديم الطعن هو </w:t>
            </w:r>
            <w:r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المتعهد</w:t>
            </w:r>
            <w:r w:rsidR="006879CF" w:rsidRPr="008F5BD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المضرور</w:t>
            </w:r>
            <w:r w:rsidR="006879CF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الذي تقدم بعطائه أو بعرضه و الذي يقع عليه عبء إثبات خرق القانون أو التنظيم أو صورة التمييز بين المتنافسين.</w:t>
            </w:r>
            <w:r w:rsidR="008F5BD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0.5</w:t>
            </w:r>
          </w:p>
        </w:tc>
        <w:tc>
          <w:tcPr>
            <w:tcW w:w="284" w:type="dxa"/>
            <w:vMerge/>
          </w:tcPr>
          <w:p w:rsidR="004E6403" w:rsidRDefault="004E6403">
            <w:pPr>
              <w:rPr>
                <w:rFonts w:cs="Calibri"/>
                <w:sz w:val="32"/>
                <w:szCs w:val="32"/>
              </w:rPr>
            </w:pPr>
          </w:p>
        </w:tc>
      </w:tr>
      <w:tr w:rsidR="004E6403" w:rsidTr="00C27009">
        <w:trPr>
          <w:trHeight w:val="84"/>
        </w:trPr>
        <w:tc>
          <w:tcPr>
            <w:tcW w:w="4543" w:type="dxa"/>
          </w:tcPr>
          <w:p w:rsidR="00A60AAA" w:rsidRPr="00A66C8D" w:rsidRDefault="003E1430" w:rsidP="00135DCE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اللجوء </w:t>
            </w:r>
            <w:r w:rsidR="00135DCE">
              <w:rPr>
                <w:rFonts w:ascii="Sakkal Majalla" w:hAnsi="Sakkal Majalla" w:cs="Sakkal Majalla" w:hint="cs"/>
                <w:sz w:val="28"/>
                <w:szCs w:val="28"/>
                <w:rtl/>
                <w:lang w:bidi="ar-DZ"/>
              </w:rPr>
              <w:t>إلى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الحل الودي أو التفاوض يكون فقط في الحالات التالية و المتمثلة في</w:t>
            </w:r>
            <w:r w:rsidR="00A60AAA"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:</w:t>
            </w:r>
          </w:p>
          <w:p w:rsidR="00A60AAA" w:rsidRPr="00A66C8D" w:rsidRDefault="00A60AAA" w:rsidP="00A60AAA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-إيجاد التوازن للتكاليف المترتبة على كل طرف من الطرفين.</w:t>
            </w:r>
          </w:p>
          <w:p w:rsidR="00A60AAA" w:rsidRPr="00A66C8D" w:rsidRDefault="00A60AAA" w:rsidP="00A60AAA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-التوصل إلى إنجاز أسرع لموضوع الصفقة.</w:t>
            </w:r>
          </w:p>
          <w:p w:rsidR="003E1430" w:rsidRPr="00A66C8D" w:rsidRDefault="00A60AAA" w:rsidP="00A60AAA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-التوصل إلى تسوية نهائية أسرع و بأقل تكلفة.</w:t>
            </w:r>
          </w:p>
          <w:p w:rsidR="00A60AAA" w:rsidRPr="00A66C8D" w:rsidRDefault="003E1430" w:rsidP="003E1430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>و بالتالي لا مجال للتفاوض إذا خرج الأمر عن هذه الحالات الثلاثة .</w:t>
            </w:r>
            <w:r w:rsidR="00A60AAA" w:rsidRPr="00A66C8D">
              <w:rPr>
                <w:rFonts w:ascii="Sakkal Majalla" w:hAnsi="Sakkal Majalla" w:cs="Sakkal Majalla"/>
                <w:sz w:val="28"/>
                <w:szCs w:val="28"/>
                <w:rtl/>
                <w:lang w:bidi="ar-DZ"/>
              </w:rPr>
              <w:t xml:space="preserve"> </w:t>
            </w:r>
            <w:r w:rsidR="00135DCE" w:rsidRPr="00135DC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DZ"/>
              </w:rPr>
              <w:t>0.75</w:t>
            </w:r>
          </w:p>
          <w:p w:rsidR="004E6403" w:rsidRPr="00A66C8D" w:rsidRDefault="004E6403" w:rsidP="00A60AAA">
            <w:pPr>
              <w:bidi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  <w:tc>
          <w:tcPr>
            <w:tcW w:w="4637" w:type="dxa"/>
          </w:tcPr>
          <w:p w:rsidR="004E6403" w:rsidRPr="00A66C8D" w:rsidRDefault="00565D45" w:rsidP="00F32911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حق اللجوء إلى الطعن محصور في</w:t>
            </w:r>
            <w:r w:rsidR="00DE47B4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:</w:t>
            </w:r>
          </w:p>
          <w:p w:rsidR="00DE47B4" w:rsidRPr="00A66C8D" w:rsidRDefault="00DE47B4" w:rsidP="00F32911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</w:t>
            </w:r>
            <w:r w:rsidR="00565D45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قرار 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المنح المؤقت للصفقة أو إلغائه.</w:t>
            </w:r>
          </w:p>
          <w:p w:rsidR="00DE47B4" w:rsidRPr="00A66C8D" w:rsidRDefault="00DE47B4" w:rsidP="00F32911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</w:t>
            </w:r>
            <w:r w:rsidR="00565D45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قرار 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إعلان عدم </w:t>
            </w:r>
            <w:r w:rsidR="00565D45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ال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جدوى أو إلغاء الإجراء.</w:t>
            </w:r>
          </w:p>
          <w:p w:rsidR="00A301BB" w:rsidRPr="00A66C8D" w:rsidRDefault="00A301BB" w:rsidP="00F32911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و الذي يجب تقديمه في ميعاده المحدد قانونا.</w:t>
            </w:r>
            <w:r w:rsidR="00370A4E" w:rsidRPr="0037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1ن</w:t>
            </w:r>
          </w:p>
        </w:tc>
        <w:tc>
          <w:tcPr>
            <w:tcW w:w="284" w:type="dxa"/>
            <w:vMerge/>
          </w:tcPr>
          <w:p w:rsidR="004E6403" w:rsidRDefault="004E6403">
            <w:pPr>
              <w:rPr>
                <w:rFonts w:cs="Calibri"/>
                <w:sz w:val="32"/>
                <w:szCs w:val="32"/>
              </w:rPr>
            </w:pPr>
          </w:p>
        </w:tc>
      </w:tr>
      <w:tr w:rsidR="004E6403" w:rsidTr="00C27009">
        <w:trPr>
          <w:trHeight w:val="84"/>
        </w:trPr>
        <w:tc>
          <w:tcPr>
            <w:tcW w:w="4543" w:type="dxa"/>
          </w:tcPr>
          <w:p w:rsidR="004E6403" w:rsidRPr="00A66C8D" w:rsidRDefault="00FD505F" w:rsidP="00C2403D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0" w:name="_GoBack"/>
            <w:bookmarkEnd w:id="0"/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بعد مرحلة محاولات المصلحة المتعاقدة البحث عن الحل الودي للنزاع مع المتعامل المتعاقد و لا يتوصلان إليه يتم عرض النزاع على لجنة التسوية الودية 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للنزاعات و المتمثلة في كل من:</w:t>
            </w:r>
          </w:p>
          <w:p w:rsidR="00FD505F" w:rsidRPr="00A66C8D" w:rsidRDefault="00FD505F" w:rsidP="00FD505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-لجنة التسوية الودية للنزاعات في الوزارة و الهيئة العمومية.</w:t>
            </w:r>
          </w:p>
          <w:p w:rsidR="00FD505F" w:rsidRPr="00A66C8D" w:rsidRDefault="00FD505F" w:rsidP="00FD505F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-لجنة التسوية الودية للنزاعات في الولاية.</w:t>
            </w:r>
            <w:r w:rsidR="00135DCE" w:rsidRPr="00135DC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0.5</w:t>
            </w:r>
          </w:p>
          <w:p w:rsidR="00135DCE" w:rsidRDefault="00135DCE" w:rsidP="00FD505F">
            <w:pPr>
              <w:bidi/>
              <w:rPr>
                <w:rFonts w:ascii="Sakkal Majalla" w:hAnsi="Sakkal Majalla" w:cs="Sakkal Majalla" w:hint="cs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*</w:t>
            </w:r>
            <w:r w:rsidR="00FD505F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رأيه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ا</w:t>
            </w:r>
            <w:r w:rsidR="00FD505F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غير ملزم قد تقبل به المصلحة المتعاقدة و قد ترفضه و هي وحدها من تقدر مدى تحقيق الرأي الصادر عن اللجنة للغايات التي حددها المشرع أي الحالات الثلاثة المشار إليها أعلاه،</w:t>
            </w:r>
            <w:r w:rsidRPr="00135DC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0.5</w:t>
            </w:r>
            <w:r w:rsidR="00FD505F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</w:t>
            </w:r>
          </w:p>
          <w:p w:rsidR="00FD505F" w:rsidRPr="00A66C8D" w:rsidRDefault="00FD505F" w:rsidP="00135DCE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أما إذا تم الإتفاق وديا يتولى مسؤول المصلحة المتعاقدة إصدار مقرر يثبت فيه هذا الإتفاق </w:t>
            </w:r>
            <w:r w:rsidR="00135DCE">
              <w:rPr>
                <w:rFonts w:ascii="Sakkal Majalla" w:hAnsi="Sakkal Majalla" w:cs="Sakkal Majalla"/>
                <w:sz w:val="28"/>
                <w:szCs w:val="28"/>
                <w:rtl/>
              </w:rPr>
              <w:t>و يبين طبيعة الإلتزامات الجديدة</w:t>
            </w:r>
            <w:r w:rsidR="00135DCE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، 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و في حالة عدم نجاح التسوية يتم اللجوء إلى القضاء المختص</w:t>
            </w:r>
            <w:r w:rsidR="00135DCE" w:rsidRPr="00135DC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0.75</w:t>
            </w:r>
          </w:p>
        </w:tc>
        <w:tc>
          <w:tcPr>
            <w:tcW w:w="4637" w:type="dxa"/>
          </w:tcPr>
          <w:p w:rsidR="004E6403" w:rsidRPr="00A66C8D" w:rsidRDefault="00B71CD4" w:rsidP="00F32911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خول قانون ص ع سلطة البت في الطعون</w:t>
            </w:r>
            <w:r w:rsidR="00A301BB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إلى لجان مختصة مدرجة على المستوى المحلي و المركزي (المواد من 165 إلى 190)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و هي كالتالي:</w:t>
            </w:r>
          </w:p>
          <w:p w:rsidR="00A301BB" w:rsidRPr="00A66C8D" w:rsidRDefault="00B71CD4" w:rsidP="009B798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1/</w:t>
            </w:r>
            <w:r w:rsidR="00A301BB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لجان ص ع غير المركزبة و </w:t>
            </w:r>
            <w:r w:rsidR="009B7987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تشمل نوعين من اللجان:</w:t>
            </w:r>
          </w:p>
          <w:p w:rsidR="00A301BB" w:rsidRPr="00A66C8D" w:rsidRDefault="00A301BB" w:rsidP="00A301BB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أ/اللجان المحلية:</w:t>
            </w:r>
            <w:r w:rsidR="009B7987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محدثة على المستوى المحلي :</w:t>
            </w:r>
          </w:p>
          <w:p w:rsidR="00A301BB" w:rsidRPr="00A66C8D" w:rsidRDefault="00A301BB" w:rsidP="00A301BB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</w:t>
            </w:r>
            <w:r w:rsidR="00B71CD4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اللجنة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الولائية للصفقات العمومية 173</w:t>
            </w:r>
          </w:p>
          <w:p w:rsidR="00A301BB" w:rsidRPr="00A66C8D" w:rsidRDefault="00A301BB" w:rsidP="00A301BB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-اللجنة البلدية "  " " " " """""""174 </w:t>
            </w:r>
          </w:p>
          <w:p w:rsidR="00A301BB" w:rsidRPr="00A66C8D" w:rsidRDefault="00A301BB" w:rsidP="00A301BB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ب/اللجان الخاصة بالمؤسسات العمومية و الهيكل غير الممركز:</w:t>
            </w:r>
          </w:p>
          <w:p w:rsidR="00A301BB" w:rsidRPr="00A66C8D" w:rsidRDefault="00A301BB" w:rsidP="00A301BB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-لجنة الصفقات للمؤسسة العمومية الوطنية و الهيكل غير الممركز للمؤسسة العمومية الوطنية ذات الطابع الإداري</w:t>
            </w:r>
            <w:r w:rsidR="009B7987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.م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172</w:t>
            </w:r>
          </w:p>
          <w:p w:rsidR="00A301BB" w:rsidRPr="00A66C8D" w:rsidRDefault="00A301BB" w:rsidP="00A301BB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 لجنة الصفقات للمؤسسة العمومية المحلية و الهيكل غير الممركز للمؤسسة العمومية الوطنية ذات الطابع الإداري</w:t>
            </w:r>
            <w:r w:rsidR="009B7987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.م</w:t>
            </w: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175</w:t>
            </w:r>
            <w:r w:rsidR="00B71CD4"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.</w:t>
            </w:r>
          </w:p>
          <w:p w:rsidR="00B71CD4" w:rsidRPr="00A66C8D" w:rsidRDefault="00B71CD4" w:rsidP="00B71CD4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2/اللجان المركزية:</w:t>
            </w:r>
          </w:p>
          <w:p w:rsidR="009B7987" w:rsidRPr="00A66C8D" w:rsidRDefault="009B7987" w:rsidP="009B798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-اللجنة الجهوية للصفقة العمومية.م 171.</w:t>
            </w:r>
          </w:p>
          <w:p w:rsidR="009B7987" w:rsidRPr="00A66C8D" w:rsidRDefault="009B7987" w:rsidP="009B7987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66C8D">
              <w:rPr>
                <w:rFonts w:ascii="Sakkal Majalla" w:hAnsi="Sakkal Majalla" w:cs="Sakkal Majalla"/>
                <w:sz w:val="28"/>
                <w:szCs w:val="28"/>
                <w:rtl/>
              </w:rPr>
              <w:t>-اللجنة القطاعية """"""""""""".م 185 .</w:t>
            </w:r>
            <w:r w:rsidR="00370A4E" w:rsidRPr="00370A4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1.5 ن</w:t>
            </w:r>
          </w:p>
          <w:p w:rsidR="00B71CD4" w:rsidRPr="00A66C8D" w:rsidRDefault="00B71CD4" w:rsidP="00B71CD4">
            <w:pPr>
              <w:bidi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84" w:type="dxa"/>
            <w:vMerge/>
          </w:tcPr>
          <w:p w:rsidR="004E6403" w:rsidRDefault="004E6403">
            <w:pPr>
              <w:rPr>
                <w:rFonts w:cs="Calibri"/>
                <w:sz w:val="32"/>
                <w:szCs w:val="32"/>
              </w:rPr>
            </w:pPr>
          </w:p>
        </w:tc>
      </w:tr>
    </w:tbl>
    <w:p w:rsidR="00795C52" w:rsidRDefault="00795C52" w:rsidP="00A51D94">
      <w:pPr>
        <w:bidi/>
        <w:rPr>
          <w:rFonts w:ascii="Sakkal Majalla" w:hAnsi="Sakkal Majalla" w:cs="Sakkal Majalla"/>
          <w:sz w:val="28"/>
          <w:szCs w:val="28"/>
          <w:rtl/>
        </w:rPr>
      </w:pPr>
    </w:p>
    <w:p w:rsidR="00795C52" w:rsidRPr="00A51D94" w:rsidRDefault="00DE47B4" w:rsidP="00DE47B4">
      <w:pPr>
        <w:bidi/>
        <w:rPr>
          <w:rFonts w:ascii="Sakkal Majalla" w:hAnsi="Sakkal Majalla" w:cs="Sakkal Majalla" w:hint="cs"/>
          <w:b/>
          <w:bCs/>
          <w:sz w:val="28"/>
          <w:szCs w:val="28"/>
          <w:rtl/>
        </w:rPr>
      </w:pPr>
      <w:r w:rsidRPr="00A51D94">
        <w:rPr>
          <w:rFonts w:ascii="Sakkal Majalla" w:hAnsi="Sakkal Majalla" w:cs="Sakkal Majalla" w:hint="cs"/>
          <w:b/>
          <w:bCs/>
          <w:sz w:val="28"/>
          <w:szCs w:val="28"/>
          <w:rtl/>
        </w:rPr>
        <w:t>الجواب الثاني:</w:t>
      </w:r>
      <w:r w:rsidR="000B136A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04 نقاط</w:t>
      </w:r>
    </w:p>
    <w:p w:rsidR="00B71CD4" w:rsidRDefault="00B71CD4" w:rsidP="00B71CD4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منازعات الصفقات العمومية تنقسم إلى صنفين و هما:</w:t>
      </w:r>
    </w:p>
    <w:p w:rsidR="00B71CD4" w:rsidRDefault="00B71CD4" w:rsidP="00B71CD4">
      <w:pPr>
        <w:bidi/>
        <w:rPr>
          <w:rFonts w:ascii="Sakkal Majalla" w:hAnsi="Sakkal Majalla" w:cs="Sakkal Majalla" w:hint="cs"/>
          <w:sz w:val="28"/>
          <w:szCs w:val="28"/>
          <w:rtl/>
        </w:rPr>
      </w:pPr>
      <w:r w:rsidRPr="000B136A">
        <w:rPr>
          <w:rFonts w:ascii="Sakkal Majalla" w:hAnsi="Sakkal Majalla" w:cs="Sakkal Majalla" w:hint="cs"/>
          <w:b/>
          <w:bCs/>
          <w:sz w:val="28"/>
          <w:szCs w:val="28"/>
          <w:rtl/>
        </w:rPr>
        <w:t>أ/المنازعات الناشئة في مرحلة الإبرام</w:t>
      </w:r>
      <w:r>
        <w:rPr>
          <w:rFonts w:ascii="Sakkal Majalla" w:hAnsi="Sakkal Majalla" w:cs="Sakkal Majalla" w:hint="cs"/>
          <w:sz w:val="28"/>
          <w:szCs w:val="28"/>
          <w:rtl/>
        </w:rPr>
        <w:t>:  و من أمثلتها:</w:t>
      </w:r>
    </w:p>
    <w:p w:rsidR="00B71CD4" w:rsidRDefault="00B71CD4" w:rsidP="00B71CD4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-المنازعات التي تنشأ حول تقييم العروض نتيجة عدم تأكد المصلحة المتعاقدة من أن المترشح لا يقع تحت طائلة الأشخاص الموقعة ضدهم عقوبات أو حالات الإقصاء.</w:t>
      </w:r>
      <w:r w:rsidR="000B136A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0B136A" w:rsidRPr="000B136A">
        <w:rPr>
          <w:rFonts w:ascii="Sakkal Majalla" w:hAnsi="Sakkal Majalla" w:cs="Sakkal Majalla" w:hint="cs"/>
          <w:b/>
          <w:bCs/>
          <w:sz w:val="28"/>
          <w:szCs w:val="28"/>
          <w:rtl/>
        </w:rPr>
        <w:t>0.75</w:t>
      </w:r>
    </w:p>
    <w:p w:rsidR="00B71CD4" w:rsidRDefault="00B71CD4" w:rsidP="00B71CD4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-المنازعات التي تنشأ حول المنح المؤقت للصفقة نتيجة عدم وضوح معايير الإختيار أو غموضها كعدم تحديد درجة الجودة أو النوعية المطلوبة</w:t>
      </w:r>
      <w:r w:rsidRPr="000B136A">
        <w:rPr>
          <w:rFonts w:ascii="Sakkal Majalla" w:hAnsi="Sakkal Majalla" w:cs="Sakkal Majalla" w:hint="cs"/>
          <w:b/>
          <w:bCs/>
          <w:sz w:val="28"/>
          <w:szCs w:val="28"/>
          <w:rtl/>
        </w:rPr>
        <w:t>.</w:t>
      </w:r>
      <w:r w:rsidR="000B136A" w:rsidRPr="000B136A">
        <w:rPr>
          <w:rFonts w:ascii="Sakkal Majalla" w:hAnsi="Sakkal Majalla" w:cs="Sakkal Majalla" w:hint="cs"/>
          <w:b/>
          <w:bCs/>
          <w:sz w:val="28"/>
          <w:szCs w:val="28"/>
          <w:rtl/>
        </w:rPr>
        <w:t>0.75</w:t>
      </w:r>
    </w:p>
    <w:p w:rsidR="00B71CD4" w:rsidRDefault="00B71CD4" w:rsidP="00B71CD4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-المنازعات التي تنشأ حول</w:t>
      </w:r>
      <w:r w:rsidR="00A51D94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6F30A4">
        <w:rPr>
          <w:rFonts w:ascii="Sakkal Majalla" w:hAnsi="Sakkal Majalla" w:cs="Sakkal Majalla" w:hint="cs"/>
          <w:sz w:val="28"/>
          <w:szCs w:val="28"/>
          <w:rtl/>
        </w:rPr>
        <w:t xml:space="preserve"> فتح العروض نتيجة الفتح المسبق للأظرفة أو قبول عروض خارج الآجال المحددة.</w:t>
      </w:r>
      <w:r w:rsidR="000B136A" w:rsidRPr="000B136A">
        <w:rPr>
          <w:rFonts w:ascii="Sakkal Majalla" w:hAnsi="Sakkal Majalla" w:cs="Sakkal Majalla" w:hint="cs"/>
          <w:b/>
          <w:bCs/>
          <w:sz w:val="28"/>
          <w:szCs w:val="28"/>
          <w:rtl/>
        </w:rPr>
        <w:t>0.5</w:t>
      </w:r>
    </w:p>
    <w:p w:rsidR="00B71CD4" w:rsidRPr="00EC09FF" w:rsidRDefault="00B71CD4" w:rsidP="00B71CD4">
      <w:pPr>
        <w:bidi/>
        <w:rPr>
          <w:rFonts w:ascii="Sakkal Majalla" w:hAnsi="Sakkal Majalla" w:cs="Sakkal Majalla" w:hint="cs"/>
          <w:b/>
          <w:bCs/>
          <w:sz w:val="28"/>
          <w:szCs w:val="28"/>
          <w:rtl/>
        </w:rPr>
      </w:pPr>
      <w:r w:rsidRPr="00EC09FF">
        <w:rPr>
          <w:rFonts w:ascii="Sakkal Majalla" w:hAnsi="Sakkal Majalla" w:cs="Sakkal Majalla" w:hint="cs"/>
          <w:b/>
          <w:bCs/>
          <w:sz w:val="28"/>
          <w:szCs w:val="28"/>
          <w:rtl/>
        </w:rPr>
        <w:t>ب/ المنازعات الناشئة في مرحلة التنفيذ:</w:t>
      </w:r>
      <w:r w:rsidRPr="00EC09FF">
        <w:rPr>
          <w:rFonts w:ascii="Sakkal Majalla" w:hAnsi="Sakkal Majalla" w:cs="Sakkal Majalla" w:hint="cs"/>
          <w:sz w:val="28"/>
          <w:szCs w:val="28"/>
          <w:rtl/>
        </w:rPr>
        <w:t xml:space="preserve"> و من أمثلتها</w:t>
      </w:r>
      <w:r w:rsidR="00B04918" w:rsidRPr="00EC09FF">
        <w:rPr>
          <w:rFonts w:ascii="Sakkal Majalla" w:hAnsi="Sakkal Majalla" w:cs="Sakkal Majalla" w:hint="cs"/>
          <w:sz w:val="28"/>
          <w:szCs w:val="28"/>
          <w:rtl/>
        </w:rPr>
        <w:t xml:space="preserve"> نذكر</w:t>
      </w:r>
    </w:p>
    <w:p w:rsidR="00B04918" w:rsidRDefault="00B04918" w:rsidP="00EC09FF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 xml:space="preserve">-إمتناع المتعامل المتعاقد عن التنفيذ أو  خروجه عن الآجال المحددة لتنفيذ إلتزاماته أو  التنفيذ </w:t>
      </w:r>
      <w:r w:rsidR="00EC09FF">
        <w:rPr>
          <w:rFonts w:ascii="Sakkal Majalla" w:hAnsi="Sakkal Majalla" w:cs="Sakkal Majalla" w:hint="cs"/>
          <w:sz w:val="28"/>
          <w:szCs w:val="28"/>
          <w:rtl/>
        </w:rPr>
        <w:t>يكون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غير مطابق  و مخا</w:t>
      </w:r>
      <w:r w:rsidR="00EC09FF">
        <w:rPr>
          <w:rFonts w:ascii="Sakkal Majalla" w:hAnsi="Sakkal Majalla" w:cs="Sakkal Majalla" w:hint="cs"/>
          <w:sz w:val="28"/>
          <w:szCs w:val="28"/>
          <w:rtl/>
        </w:rPr>
        <w:t>ل</w:t>
      </w:r>
      <w:r>
        <w:rPr>
          <w:rFonts w:ascii="Sakkal Majalla" w:hAnsi="Sakkal Majalla" w:cs="Sakkal Majalla" w:hint="cs"/>
          <w:sz w:val="28"/>
          <w:szCs w:val="28"/>
          <w:rtl/>
        </w:rPr>
        <w:t>فا لما جاء في دفتر الشروط.</w:t>
      </w:r>
      <w:r w:rsidR="009F486F" w:rsidRPr="009F486F">
        <w:rPr>
          <w:rFonts w:ascii="Sakkal Majalla" w:hAnsi="Sakkal Majalla" w:cs="Sakkal Majalla" w:hint="cs"/>
          <w:b/>
          <w:bCs/>
          <w:sz w:val="28"/>
          <w:szCs w:val="28"/>
          <w:rtl/>
        </w:rPr>
        <w:t>0.75</w:t>
      </w:r>
    </w:p>
    <w:p w:rsidR="00B04918" w:rsidRDefault="00EC09FF" w:rsidP="00B04918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 xml:space="preserve">-عدم تسديد المصلحة المتعاقدة </w:t>
      </w:r>
      <w:r w:rsidR="00B04918">
        <w:rPr>
          <w:rFonts w:ascii="Sakkal Majalla" w:hAnsi="Sakkal Majalla" w:cs="Sakkal Majalla" w:hint="cs"/>
          <w:sz w:val="28"/>
          <w:szCs w:val="28"/>
          <w:rtl/>
        </w:rPr>
        <w:t>للمقابل المالي المتفق عليه أو التأخير في تسديده وفق الآجال المتفق عليها.</w:t>
      </w:r>
      <w:r w:rsidR="009F486F" w:rsidRPr="009F486F">
        <w:rPr>
          <w:rFonts w:ascii="Sakkal Majalla" w:hAnsi="Sakkal Majalla" w:cs="Sakkal Majalla" w:hint="cs"/>
          <w:b/>
          <w:bCs/>
          <w:sz w:val="28"/>
          <w:szCs w:val="28"/>
          <w:rtl/>
        </w:rPr>
        <w:t>0.75</w:t>
      </w:r>
    </w:p>
    <w:p w:rsidR="00B71CD4" w:rsidRDefault="00B04918" w:rsidP="009E1EDA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lastRenderedPageBreak/>
        <w:t>-رفع  أسعار ا</w:t>
      </w:r>
      <w:r w:rsidR="00A51D94">
        <w:rPr>
          <w:rFonts w:ascii="Sakkal Majalla" w:hAnsi="Sakkal Majalla" w:cs="Sakkal Majalla" w:hint="cs"/>
          <w:sz w:val="28"/>
          <w:szCs w:val="28"/>
          <w:rtl/>
        </w:rPr>
        <w:t>لمواد الضرورية للصفقة أو نذرتها، أو عدم تسليم الأرضية التي سيقام عليها المشروع</w:t>
      </w:r>
      <w:r w:rsidR="00A51D94" w:rsidRPr="009F486F">
        <w:rPr>
          <w:rFonts w:ascii="Sakkal Majalla" w:hAnsi="Sakkal Majalla" w:cs="Sakkal Majalla" w:hint="cs"/>
          <w:b/>
          <w:bCs/>
          <w:sz w:val="28"/>
          <w:szCs w:val="28"/>
          <w:rtl/>
        </w:rPr>
        <w:t>.</w:t>
      </w:r>
      <w:r w:rsidR="009F486F" w:rsidRPr="009F486F">
        <w:rPr>
          <w:rFonts w:ascii="Sakkal Majalla" w:hAnsi="Sakkal Majalla" w:cs="Sakkal Majalla" w:hint="cs"/>
          <w:b/>
          <w:bCs/>
          <w:sz w:val="28"/>
          <w:szCs w:val="28"/>
          <w:rtl/>
        </w:rPr>
        <w:t>0.5</w:t>
      </w:r>
    </w:p>
    <w:p w:rsidR="00DE47B4" w:rsidRPr="009E1EDA" w:rsidRDefault="00DE47B4" w:rsidP="00DE47B4">
      <w:pPr>
        <w:bidi/>
        <w:rPr>
          <w:rFonts w:ascii="Sakkal Majalla" w:hAnsi="Sakkal Majalla" w:cs="Sakkal Majalla" w:hint="cs"/>
          <w:b/>
          <w:bCs/>
          <w:sz w:val="28"/>
          <w:szCs w:val="28"/>
          <w:rtl/>
        </w:rPr>
      </w:pPr>
      <w:r w:rsidRPr="009E1EDA">
        <w:rPr>
          <w:rFonts w:ascii="Sakkal Majalla" w:hAnsi="Sakkal Majalla" w:cs="Sakkal Majalla" w:hint="cs"/>
          <w:b/>
          <w:bCs/>
          <w:sz w:val="28"/>
          <w:szCs w:val="28"/>
          <w:rtl/>
        </w:rPr>
        <w:t>الجواب الثالث:</w:t>
      </w:r>
      <w:r w:rsidR="00A10433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6 نقاط</w:t>
      </w:r>
    </w:p>
    <w:p w:rsidR="00DE47B4" w:rsidRDefault="00003869" w:rsidP="00DE47B4">
      <w:pPr>
        <w:bidi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 xml:space="preserve">     </w:t>
      </w:r>
      <w:r w:rsidR="00DE47B4">
        <w:rPr>
          <w:rFonts w:ascii="Sakkal Majalla" w:hAnsi="Sakkal Majalla" w:cs="Sakkal Majalla" w:hint="cs"/>
          <w:sz w:val="28"/>
          <w:szCs w:val="28"/>
          <w:rtl/>
        </w:rPr>
        <w:t xml:space="preserve">يبرز التعارض الذي وقع فيه المشرع عند تحديده للأشخاص التي يجوز لها اللجوء إلى التحكيم في مجال الصفقات العمومية من خلال المادتين: </w:t>
      </w:r>
      <w:r w:rsidR="00DE47B4" w:rsidRPr="00003869">
        <w:rPr>
          <w:rFonts w:ascii="Sakkal Majalla" w:hAnsi="Sakkal Majalla" w:cs="Sakkal Majalla" w:hint="cs"/>
          <w:b/>
          <w:bCs/>
          <w:sz w:val="28"/>
          <w:szCs w:val="28"/>
          <w:rtl/>
        </w:rPr>
        <w:t>975 و 1006/ ف</w:t>
      </w:r>
      <w:r w:rsidR="00DE47B4">
        <w:rPr>
          <w:rFonts w:ascii="Sakkal Majalla" w:hAnsi="Sakkal Majalla" w:cs="Sakkal Majalla" w:hint="cs"/>
          <w:sz w:val="28"/>
          <w:szCs w:val="28"/>
          <w:rtl/>
        </w:rPr>
        <w:t xml:space="preserve"> 3 من قانون الإجراءات المدنية و الإدارية</w:t>
      </w:r>
      <w:r w:rsidR="00792014">
        <w:rPr>
          <w:rFonts w:ascii="Sakkal Majalla" w:hAnsi="Sakkal Majalla" w:cs="Sakkal Majalla" w:hint="cs"/>
          <w:sz w:val="28"/>
          <w:szCs w:val="28"/>
          <w:rtl/>
        </w:rPr>
        <w:t>.</w:t>
      </w:r>
      <w:r w:rsidR="00A10433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A10433" w:rsidRPr="00A10433">
        <w:rPr>
          <w:rFonts w:ascii="Sakkal Majalla" w:hAnsi="Sakkal Majalla" w:cs="Sakkal Majalla" w:hint="cs"/>
          <w:b/>
          <w:bCs/>
          <w:sz w:val="28"/>
          <w:szCs w:val="28"/>
          <w:rtl/>
        </w:rPr>
        <w:t>(1 ن)</w:t>
      </w:r>
    </w:p>
    <w:p w:rsidR="00792014" w:rsidRDefault="00B124C0" w:rsidP="0070155A">
      <w:pPr>
        <w:bidi/>
        <w:jc w:val="both"/>
        <w:rPr>
          <w:rFonts w:ascii="Sakkal Majalla" w:hAnsi="Sakkal Majalla" w:cs="Sakkal Majalla" w:hint="cs"/>
          <w:sz w:val="28"/>
          <w:szCs w:val="28"/>
          <w:rtl/>
        </w:rPr>
      </w:pPr>
      <w:r>
        <w:rPr>
          <w:rFonts w:ascii="Sakkal Majalla" w:hAnsi="Sakkal Majalla" w:cs="Sakkal Majalla" w:hint="cs"/>
          <w:sz w:val="28"/>
          <w:szCs w:val="28"/>
          <w:rtl/>
        </w:rPr>
        <w:t>حيث أجاز بموجب</w:t>
      </w:r>
      <w:r w:rsidR="00792014">
        <w:rPr>
          <w:rFonts w:ascii="Sakkal Majalla" w:hAnsi="Sakkal Majalla" w:cs="Sakkal Majalla" w:hint="cs"/>
          <w:sz w:val="28"/>
          <w:szCs w:val="28"/>
          <w:rtl/>
        </w:rPr>
        <w:t xml:space="preserve"> م 975 إمكانية لجوء أشخاص القانون العام إلى التحكيم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و لكن </w:t>
      </w:r>
      <w:r w:rsidRPr="00F3291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حصرها </w:t>
      </w:r>
      <w:r w:rsidR="00792014" w:rsidRPr="00F32911">
        <w:rPr>
          <w:rFonts w:ascii="Sakkal Majalla" w:hAnsi="Sakkal Majalla" w:cs="Sakkal Majalla" w:hint="cs"/>
          <w:b/>
          <w:bCs/>
          <w:sz w:val="28"/>
          <w:szCs w:val="28"/>
          <w:rtl/>
        </w:rPr>
        <w:t>فقط في الأشخاص المذكورة في م 800</w:t>
      </w:r>
      <w:r w:rsidR="00792014">
        <w:rPr>
          <w:rFonts w:ascii="Sakkal Majalla" w:hAnsi="Sakkal Majalla" w:cs="Sakkal Majalla" w:hint="cs"/>
          <w:sz w:val="28"/>
          <w:szCs w:val="28"/>
          <w:rtl/>
        </w:rPr>
        <w:t xml:space="preserve">   أما 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في </w:t>
      </w:r>
      <w:r w:rsidR="00792014">
        <w:rPr>
          <w:rFonts w:ascii="Sakkal Majalla" w:hAnsi="Sakkal Majalla" w:cs="Sakkal Majalla" w:hint="cs"/>
          <w:sz w:val="28"/>
          <w:szCs w:val="28"/>
          <w:rtl/>
        </w:rPr>
        <w:t xml:space="preserve">م 1006/ف3  لم </w:t>
      </w:r>
      <w:r>
        <w:rPr>
          <w:rFonts w:ascii="Sakkal Majalla" w:hAnsi="Sakkal Majalla" w:cs="Sakkal Majalla" w:hint="cs"/>
          <w:sz w:val="28"/>
          <w:szCs w:val="28"/>
          <w:rtl/>
        </w:rPr>
        <w:t>ي</w:t>
      </w:r>
      <w:r w:rsidR="00792014">
        <w:rPr>
          <w:rFonts w:ascii="Sakkal Majalla" w:hAnsi="Sakkal Majalla" w:cs="Sakkal Majalla" w:hint="cs"/>
          <w:sz w:val="28"/>
          <w:szCs w:val="28"/>
          <w:rtl/>
        </w:rPr>
        <w:t>تقيد بالأشخاص المذكورة في م 800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و إنما </w:t>
      </w:r>
      <w:r w:rsidRPr="00F32911">
        <w:rPr>
          <w:rFonts w:ascii="Sakkal Majalla" w:hAnsi="Sakkal Majalla" w:cs="Sakkal Majalla" w:hint="cs"/>
          <w:b/>
          <w:bCs/>
          <w:sz w:val="28"/>
          <w:szCs w:val="28"/>
          <w:rtl/>
        </w:rPr>
        <w:t>ذكر الأشخاص المعنوية العامة</w:t>
      </w:r>
      <w:r>
        <w:rPr>
          <w:rFonts w:ascii="Sakkal Majalla" w:hAnsi="Sakkal Majalla" w:cs="Sakkal Majalla" w:hint="cs"/>
          <w:sz w:val="28"/>
          <w:szCs w:val="28"/>
          <w:rtl/>
        </w:rPr>
        <w:t>، فناك فرق بين</w:t>
      </w:r>
      <w:r w:rsidR="0070155A">
        <w:rPr>
          <w:rFonts w:ascii="Sakkal Majalla" w:hAnsi="Sakkal Majalla" w:cs="Sakkal Majalla" w:hint="cs"/>
          <w:sz w:val="28"/>
          <w:szCs w:val="28"/>
          <w:rtl/>
        </w:rPr>
        <w:t xml:space="preserve"> المصطلحين</w:t>
      </w:r>
      <w:r>
        <w:rPr>
          <w:rFonts w:ascii="Sakkal Majalla" w:hAnsi="Sakkal Majalla" w:cs="Sakkal Majalla" w:hint="cs"/>
          <w:sz w:val="28"/>
          <w:szCs w:val="28"/>
          <w:rtl/>
        </w:rPr>
        <w:t>، المادة 800  لم تشمل إلا بعض الأشخاص المعنوية العامة و ليس كلهم.</w:t>
      </w:r>
      <w:r w:rsidR="00A011CB" w:rsidRPr="00A011CB">
        <w:rPr>
          <w:rFonts w:ascii="Sakkal Majalla" w:hAnsi="Sakkal Majalla" w:cs="Sakkal Majalla" w:hint="cs"/>
          <w:b/>
          <w:bCs/>
          <w:sz w:val="28"/>
          <w:szCs w:val="28"/>
          <w:rtl/>
        </w:rPr>
        <w:t>(2</w:t>
      </w:r>
      <w:r w:rsidR="00A011CB">
        <w:rPr>
          <w:rFonts w:ascii="Sakkal Majalla" w:hAnsi="Sakkal Majalla" w:cs="Sakkal Majalla" w:hint="cs"/>
          <w:b/>
          <w:bCs/>
          <w:sz w:val="28"/>
          <w:szCs w:val="28"/>
          <w:rtl/>
        </w:rPr>
        <w:t>.5</w:t>
      </w:r>
      <w:r w:rsidR="00A011CB" w:rsidRPr="00A011CB">
        <w:rPr>
          <w:rFonts w:ascii="Sakkal Majalla" w:hAnsi="Sakkal Majalla" w:cs="Sakkal Majalla" w:hint="cs"/>
          <w:b/>
          <w:bCs/>
          <w:sz w:val="28"/>
          <w:szCs w:val="28"/>
          <w:rtl/>
        </w:rPr>
        <w:t>ن)</w:t>
      </w:r>
    </w:p>
    <w:p w:rsidR="00792014" w:rsidRPr="00795C52" w:rsidRDefault="00792014" w:rsidP="0070155A">
      <w:pPr>
        <w:bidi/>
        <w:jc w:val="both"/>
        <w:rPr>
          <w:rFonts w:ascii="Sakkal Majalla" w:hAnsi="Sakkal Majalla" w:cs="Sakkal Majalla"/>
          <w:sz w:val="28"/>
          <w:szCs w:val="28"/>
        </w:rPr>
      </w:pPr>
      <w:r>
        <w:rPr>
          <w:rFonts w:ascii="Sakkal Majalla" w:hAnsi="Sakkal Majalla" w:cs="Sakkal Majalla" w:hint="cs"/>
          <w:sz w:val="28"/>
          <w:szCs w:val="28"/>
          <w:rtl/>
        </w:rPr>
        <w:t>و كذلك</w:t>
      </w:r>
      <w:r w:rsidR="00AC6BD0">
        <w:rPr>
          <w:rFonts w:ascii="Sakkal Majalla" w:hAnsi="Sakkal Majalla" w:cs="Sakkal Majalla" w:hint="cs"/>
          <w:sz w:val="28"/>
          <w:szCs w:val="28"/>
          <w:rtl/>
        </w:rPr>
        <w:t xml:space="preserve"> وقع في التعارض</w:t>
      </w:r>
      <w:r>
        <w:rPr>
          <w:rFonts w:ascii="Sakkal Majalla" w:hAnsi="Sakkal Majalla" w:cs="Sakkal Majalla" w:hint="cs"/>
          <w:sz w:val="28"/>
          <w:szCs w:val="28"/>
          <w:rtl/>
        </w:rPr>
        <w:t xml:space="preserve"> فيما يخص المجال الذي يجوز فيه لهؤلاء الأشخاص طلب التحكيم فمن جهة يحصره في </w:t>
      </w:r>
      <w:r w:rsidR="00AC6BD0" w:rsidRPr="00F32911">
        <w:rPr>
          <w:rFonts w:ascii="Sakkal Majalla" w:hAnsi="Sakkal Majalla" w:cs="Sakkal Majalla" w:hint="cs"/>
          <w:b/>
          <w:bCs/>
          <w:sz w:val="28"/>
          <w:szCs w:val="28"/>
          <w:rtl/>
        </w:rPr>
        <w:t>مجال الإتفاقات الدولية التي صادقت عليها الجزائر و مجال الصفقات العمومية</w:t>
      </w:r>
      <w:r w:rsidR="00AC6BD0">
        <w:rPr>
          <w:rFonts w:ascii="Sakkal Majalla" w:hAnsi="Sakkal Majalla" w:cs="Sakkal Majalla" w:hint="cs"/>
          <w:sz w:val="28"/>
          <w:szCs w:val="28"/>
          <w:rtl/>
        </w:rPr>
        <w:t xml:space="preserve"> بموجب م 975 ، في حين يحصره في م 1006/ف3  في </w:t>
      </w:r>
      <w:r w:rsidR="00AC6BD0" w:rsidRPr="00F32911">
        <w:rPr>
          <w:rFonts w:ascii="Sakkal Majalla" w:hAnsi="Sakkal Majalla" w:cs="Sakkal Majalla" w:hint="cs"/>
          <w:b/>
          <w:bCs/>
          <w:sz w:val="28"/>
          <w:szCs w:val="28"/>
          <w:rtl/>
        </w:rPr>
        <w:t>مجال العلاقات الإقتصادية الدولية و مجال الصفقات العمومية</w:t>
      </w:r>
      <w:r w:rsidR="00AC6BD0">
        <w:rPr>
          <w:rFonts w:ascii="Sakkal Majalla" w:hAnsi="Sakkal Majalla" w:cs="Sakkal Majalla" w:hint="cs"/>
          <w:sz w:val="28"/>
          <w:szCs w:val="28"/>
          <w:rtl/>
        </w:rPr>
        <w:t>، و ذكر المادتين للمجالات على وجه الحصر يؤدي بطبيعة الحال إلى إقصاء و نفي كل مادة لمجالات لم تتضمنها.</w:t>
      </w:r>
      <w:r w:rsidR="00F711EF">
        <w:rPr>
          <w:rFonts w:ascii="Sakkal Majalla" w:hAnsi="Sakkal Majalla" w:cs="Sakkal Majalla" w:hint="cs"/>
          <w:sz w:val="28"/>
          <w:szCs w:val="28"/>
          <w:rtl/>
        </w:rPr>
        <w:t xml:space="preserve"> إذ لابد على المشرع أن يتدارك مثل هذا التعارض بتوحيد المصطلحات المستعملة و تفادي أسلوب التخصيص على وجه الحصر من أجل ضمان تكامل النصوص.</w:t>
      </w:r>
      <w:r w:rsidR="00A011CB">
        <w:rPr>
          <w:rFonts w:ascii="Sakkal Majalla" w:hAnsi="Sakkal Majalla" w:cs="Sakkal Majalla" w:hint="cs"/>
          <w:sz w:val="28"/>
          <w:szCs w:val="28"/>
          <w:rtl/>
        </w:rPr>
        <w:t xml:space="preserve"> </w:t>
      </w:r>
      <w:r w:rsidR="00A011CB" w:rsidRPr="00A011CB">
        <w:rPr>
          <w:rFonts w:ascii="Sakkal Majalla" w:hAnsi="Sakkal Majalla" w:cs="Sakkal Majalla" w:hint="cs"/>
          <w:b/>
          <w:bCs/>
          <w:sz w:val="28"/>
          <w:szCs w:val="28"/>
          <w:rtl/>
        </w:rPr>
        <w:t>(2</w:t>
      </w:r>
      <w:r w:rsidR="00A011CB">
        <w:rPr>
          <w:rFonts w:ascii="Sakkal Majalla" w:hAnsi="Sakkal Majalla" w:cs="Sakkal Majalla" w:hint="cs"/>
          <w:b/>
          <w:bCs/>
          <w:sz w:val="28"/>
          <w:szCs w:val="28"/>
          <w:rtl/>
        </w:rPr>
        <w:t>.5</w:t>
      </w:r>
      <w:r w:rsidR="00A011CB" w:rsidRPr="00A011CB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ن)</w:t>
      </w:r>
    </w:p>
    <w:sectPr w:rsidR="00792014" w:rsidRPr="00795C52" w:rsidSect="00135DCE">
      <w:pgSz w:w="11906" w:h="16838"/>
      <w:pgMar w:top="1417" w:right="1417" w:bottom="1417" w:left="1417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FDE" w:rsidRDefault="00FD6FDE" w:rsidP="00795C52">
      <w:pPr>
        <w:spacing w:after="0" w:line="240" w:lineRule="auto"/>
      </w:pPr>
      <w:r>
        <w:separator/>
      </w:r>
    </w:p>
  </w:endnote>
  <w:endnote w:type="continuationSeparator" w:id="1">
    <w:p w:rsidR="00FD6FDE" w:rsidRDefault="00FD6FDE" w:rsidP="0079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FDE" w:rsidRDefault="00FD6FDE" w:rsidP="00795C52">
      <w:pPr>
        <w:spacing w:after="0" w:line="240" w:lineRule="auto"/>
      </w:pPr>
      <w:r>
        <w:separator/>
      </w:r>
    </w:p>
  </w:footnote>
  <w:footnote w:type="continuationSeparator" w:id="1">
    <w:p w:rsidR="00FD6FDE" w:rsidRDefault="00FD6FDE" w:rsidP="00795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2BA4"/>
    <w:rsid w:val="00003869"/>
    <w:rsid w:val="000B136A"/>
    <w:rsid w:val="000F3E62"/>
    <w:rsid w:val="00135DCE"/>
    <w:rsid w:val="00232BA4"/>
    <w:rsid w:val="002967CF"/>
    <w:rsid w:val="00297DB0"/>
    <w:rsid w:val="002B5C85"/>
    <w:rsid w:val="002C5583"/>
    <w:rsid w:val="002C5E28"/>
    <w:rsid w:val="00370A4E"/>
    <w:rsid w:val="003A1B5E"/>
    <w:rsid w:val="003E1430"/>
    <w:rsid w:val="004E6403"/>
    <w:rsid w:val="004F78D4"/>
    <w:rsid w:val="00565D45"/>
    <w:rsid w:val="006879CF"/>
    <w:rsid w:val="006E2AD6"/>
    <w:rsid w:val="006F30A4"/>
    <w:rsid w:val="0070155A"/>
    <w:rsid w:val="007234DC"/>
    <w:rsid w:val="00757D69"/>
    <w:rsid w:val="00792014"/>
    <w:rsid w:val="00795C52"/>
    <w:rsid w:val="008770CB"/>
    <w:rsid w:val="008F5BDE"/>
    <w:rsid w:val="009A6F14"/>
    <w:rsid w:val="009B7987"/>
    <w:rsid w:val="009E1EDA"/>
    <w:rsid w:val="009F486F"/>
    <w:rsid w:val="00A011CB"/>
    <w:rsid w:val="00A10433"/>
    <w:rsid w:val="00A301BB"/>
    <w:rsid w:val="00A51D94"/>
    <w:rsid w:val="00A60AAA"/>
    <w:rsid w:val="00A66C8D"/>
    <w:rsid w:val="00AC6BD0"/>
    <w:rsid w:val="00B04918"/>
    <w:rsid w:val="00B124C0"/>
    <w:rsid w:val="00B71CD4"/>
    <w:rsid w:val="00C2403D"/>
    <w:rsid w:val="00C27009"/>
    <w:rsid w:val="00CF29A9"/>
    <w:rsid w:val="00DE47B4"/>
    <w:rsid w:val="00EC09FF"/>
    <w:rsid w:val="00F32911"/>
    <w:rsid w:val="00F711EF"/>
    <w:rsid w:val="00FD505F"/>
    <w:rsid w:val="00FD6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B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32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795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95C52"/>
  </w:style>
  <w:style w:type="paragraph" w:styleId="Pieddepage">
    <w:name w:val="footer"/>
    <w:basedOn w:val="Normal"/>
    <w:link w:val="PieddepageCar"/>
    <w:uiPriority w:val="99"/>
    <w:semiHidden/>
    <w:unhideWhenUsed/>
    <w:rsid w:val="00795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95C5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814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User</cp:lastModifiedBy>
  <cp:revision>38</cp:revision>
  <dcterms:created xsi:type="dcterms:W3CDTF">2026-05-17T22:46:00Z</dcterms:created>
  <dcterms:modified xsi:type="dcterms:W3CDTF">2026-05-19T13:36:00Z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2b4f753e1026424a9f419d02ffd851ec</vt:lpwstr>
  </property>
</Properties>
</file>