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1"/>
        <w:spacing w:lineRule="auto" w:line="276" w:before="0" w:after="0"/>
        <w:jc w:val="center"/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Cs w:val="32"/>
          <w:lang w:bidi="ar-DZ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55B0F171">
                <wp:simplePos x="0" y="0"/>
                <wp:positionH relativeFrom="column">
                  <wp:posOffset>-356870</wp:posOffset>
                </wp:positionH>
                <wp:positionV relativeFrom="paragraph">
                  <wp:posOffset>-118745</wp:posOffset>
                </wp:positionV>
                <wp:extent cx="1429385" cy="1048385"/>
                <wp:effectExtent l="0" t="0" r="19050" b="19050"/>
                <wp:wrapNone/>
                <wp:docPr id="1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840" cy="1047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60"/>
                              <w:jc w:val="center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822960" cy="781050"/>
                                  <wp:effectExtent l="0" t="0" r="0" b="0"/>
                                  <wp:docPr id="3" name="Image 10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10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2960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90000" rIns="90000" tIns="45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-28.1pt;margin-top:-9.35pt;width:112.45pt;height:82.45pt" wp14:anchorId="55B0F171">
                <w10:wrap type="none"/>
                <v:fill o:detectmouseclick="t" type="solid" color2="black"/>
                <v:stroke color="white" weight="12600" joinstyle="miter" endcap="flat"/>
                <v:textbox>
                  <w:txbxContent>
                    <w:p>
                      <w:pPr>
                        <w:pStyle w:val="Contenudecadre"/>
                        <w:spacing w:before="0" w:after="160"/>
                        <w:jc w:val="center"/>
                        <w:rPr/>
                      </w:pPr>
                      <w:r>
                        <w:rPr/>
                        <w:drawing>
                          <wp:inline distT="0" distB="0" distL="0" distR="0">
                            <wp:extent cx="822960" cy="781050"/>
                            <wp:effectExtent l="0" t="0" r="0" b="0"/>
                            <wp:docPr id="4" name="Image 10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 10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2960" cy="781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" wp14:anchorId="217457F5">
                <wp:simplePos x="0" y="0"/>
                <wp:positionH relativeFrom="margin">
                  <wp:posOffset>4605655</wp:posOffset>
                </wp:positionH>
                <wp:positionV relativeFrom="paragraph">
                  <wp:posOffset>52705</wp:posOffset>
                </wp:positionV>
                <wp:extent cx="1353185" cy="915035"/>
                <wp:effectExtent l="0" t="0" r="19050" b="19050"/>
                <wp:wrapNone/>
                <wp:docPr id="5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20" cy="914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60"/>
                              <w:jc w:val="center"/>
                              <w:rPr/>
                            </w:pPr>
                            <w:r>
                              <w:rPr/>
                              <w:drawing>
                                <wp:inline distT="0" distB="0" distL="0" distR="5715">
                                  <wp:extent cx="775335" cy="762000"/>
                                  <wp:effectExtent l="0" t="0" r="0" b="0"/>
                                  <wp:docPr id="7" name="Image 13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 13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5335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90000" rIns="90000" tIns="45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white" stroked="t" style="position:absolute;margin-left:362.65pt;margin-top:4.15pt;width:106.45pt;height:71.95pt;mso-position-horizontal-relative:margin" wp14:anchorId="217457F5">
                <w10:wrap type="none"/>
                <v:fill o:detectmouseclick="t" type="solid" color2="black"/>
                <v:stroke color="white" weight="12600" joinstyle="miter" endcap="flat"/>
                <v:textbox>
                  <w:txbxContent>
                    <w:p>
                      <w:pPr>
                        <w:pStyle w:val="Contenudecadre"/>
                        <w:spacing w:before="0" w:after="160"/>
                        <w:jc w:val="center"/>
                        <w:rPr/>
                      </w:pPr>
                      <w:r>
                        <w:rPr/>
                        <w:drawing>
                          <wp:inline distT="0" distB="0" distL="0" distR="5715">
                            <wp:extent cx="775335" cy="762000"/>
                            <wp:effectExtent l="0" t="0" r="0" b="0"/>
                            <wp:docPr id="8" name="Image 13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 13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5335" cy="76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 w:val="32"/>
          <w:szCs w:val="32"/>
          <w:rtl w:val="true"/>
          <w:lang w:bidi="ar-DZ"/>
        </w:rPr>
        <w:t>جامعة محمد الصديق بن يحي</w:t>
      </w:r>
      <w:r>
        <w:rPr>
          <w:rFonts w:cs="Times New Roman" w:ascii="Times New Roman" w:hAnsi="Times New Roman" w:asciiTheme="majorBidi" w:cstheme="majorBidi" w:hAnsiTheme="majorBidi"/>
          <w:b/>
          <w:bCs/>
          <w:sz w:val="32"/>
          <w:szCs w:val="32"/>
          <w:rtl w:val="true"/>
          <w:lang w:bidi="ar-DZ"/>
        </w:rPr>
        <w:t>-</w:t>
      </w:r>
      <w:r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 w:val="32"/>
          <w:szCs w:val="32"/>
          <w:rtl w:val="true"/>
          <w:lang w:bidi="ar-DZ"/>
        </w:rPr>
        <w:t>جيجل</w:t>
      </w:r>
      <w:r>
        <w:rPr>
          <w:rFonts w:cs="Times New Roman" w:ascii="Times New Roman" w:hAnsi="Times New Roman" w:asciiTheme="majorBidi" w:cstheme="majorBidi" w:hAnsiTheme="majorBidi"/>
          <w:b/>
          <w:bCs/>
          <w:sz w:val="32"/>
          <w:szCs w:val="32"/>
          <w:rtl w:val="true"/>
          <w:lang w:bidi="ar-DZ"/>
        </w:rPr>
        <w:t>-</w:t>
      </w:r>
    </w:p>
    <w:p>
      <w:pPr>
        <w:pStyle w:val="Normal"/>
        <w:bidi w:val="1"/>
        <w:spacing w:lineRule="auto" w:line="276" w:before="0" w:after="0"/>
        <w:jc w:val="center"/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Cs w:val="32"/>
          <w:lang w:bidi="ar-DZ"/>
        </w:rPr>
      </w:pPr>
      <w:r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 w:val="32"/>
          <w:szCs w:val="32"/>
          <w:rtl w:val="true"/>
          <w:lang w:bidi="ar-DZ"/>
        </w:rPr>
        <w:t xml:space="preserve">كلية العلوم الإنسانية والإجتماعية           </w:t>
      </w:r>
    </w:p>
    <w:p>
      <w:pPr>
        <w:pStyle w:val="Normal"/>
        <w:bidi w:val="1"/>
        <w:spacing w:lineRule="auto" w:line="276" w:before="0" w:after="0"/>
        <w:jc w:val="center"/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Cs w:val="32"/>
          <w:lang w:bidi="ar-DZ"/>
        </w:rPr>
      </w:pPr>
      <w:r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 w:val="32"/>
          <w:szCs w:val="32"/>
          <w:rtl w:val="true"/>
          <w:lang w:bidi="ar-DZ"/>
        </w:rPr>
        <w:t>قسم علم اجتماع</w:t>
      </w:r>
    </w:p>
    <w:p>
      <w:pPr>
        <w:pStyle w:val="Normal"/>
        <w:bidi w:val="1"/>
        <w:spacing w:lineRule="auto" w:line="276" w:before="0" w:after="0"/>
        <w:jc w:val="center"/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Cs w:val="32"/>
          <w:lang w:bidi="ar-DZ"/>
        </w:rPr>
      </w:pPr>
      <w:r>
        <w:rPr>
          <w:rFonts w:cs="Times New Roman" w:cstheme="majorBidi" w:ascii="Times New Roman" w:hAnsi="Times New Roman"/>
          <w:b/>
          <w:bCs/>
          <w:sz w:val="32"/>
          <w:szCs w:val="32"/>
          <w:rtl w:val="true"/>
          <w:lang w:bidi="ar-DZ"/>
        </w:rPr>
      </w:r>
    </w:p>
    <w:p>
      <w:pPr>
        <w:pStyle w:val="Normal"/>
        <w:bidi w:val="1"/>
        <w:spacing w:lineRule="auto" w:line="276" w:before="0" w:after="0"/>
        <w:jc w:val="center"/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Cs w:val="32"/>
          <w:lang w:bidi="ar-DZ"/>
        </w:rPr>
      </w:pPr>
      <w:r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 w:val="32"/>
          <w:szCs w:val="32"/>
          <w:rtl w:val="true"/>
          <w:lang w:bidi="ar-DZ"/>
        </w:rPr>
        <w:t>المستوى</w:t>
      </w:r>
      <w:r>
        <w:rPr>
          <w:rFonts w:cs="Times New Roman" w:ascii="Times New Roman" w:hAnsi="Times New Roman" w:asciiTheme="majorBidi" w:cstheme="majorBidi" w:hAnsiTheme="majorBidi"/>
          <w:b/>
          <w:bCs/>
          <w:sz w:val="32"/>
          <w:szCs w:val="32"/>
          <w:rtl w:val="true"/>
          <w:lang w:bidi="ar-DZ"/>
        </w:rPr>
        <w:t xml:space="preserve">: </w:t>
      </w:r>
      <w:r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 w:val="32"/>
          <w:szCs w:val="32"/>
          <w:rtl w:val="true"/>
          <w:lang w:bidi="ar-DZ"/>
        </w:rPr>
        <w:t>أولى ماستر                                                تخصص</w:t>
      </w:r>
      <w:r>
        <w:rPr>
          <w:rFonts w:cs="Times New Roman" w:ascii="Times New Roman" w:hAnsi="Times New Roman" w:asciiTheme="majorBidi" w:cstheme="majorBidi" w:hAnsiTheme="majorBidi"/>
          <w:b/>
          <w:bCs/>
          <w:sz w:val="32"/>
          <w:szCs w:val="32"/>
          <w:rtl w:val="true"/>
          <w:lang w:bidi="ar-DZ"/>
        </w:rPr>
        <w:t>:</w:t>
      </w:r>
      <w:r>
        <w:rPr>
          <w:rFonts w:ascii="Times New Roman" w:hAnsi="Times New Roman" w:cs="Times New Roman" w:asciiTheme="majorBidi" w:cstheme="majorBidi" w:hAnsiTheme="majorBidi"/>
          <w:b/>
          <w:b/>
          <w:bCs/>
          <w:sz w:val="32"/>
          <w:sz w:val="32"/>
          <w:szCs w:val="32"/>
          <w:rtl w:val="true"/>
          <w:lang w:bidi="ar-DZ"/>
        </w:rPr>
        <w:t>علم اجتماع الإتصال</w:t>
      </w:r>
    </w:p>
    <w:p>
      <w:pPr>
        <w:pStyle w:val="Normal"/>
        <w:bidi w:val="1"/>
        <w:spacing w:lineRule="auto" w:line="276" w:before="0" w:after="0"/>
        <w:jc w:val="center"/>
        <w:rPr>
          <w:rFonts w:ascii="Times New Roman" w:hAnsi="Times New Roman" w:cs="Times New Roman" w:asciiTheme="majorBidi" w:cstheme="majorBidi" w:hAnsiTheme="majorBidi"/>
          <w:sz w:val="20"/>
          <w:szCs w:val="20"/>
          <w:lang w:bidi="ar-DZ"/>
        </w:rPr>
      </w:pPr>
      <w:r>
        <w:rPr>
          <w:rFonts w:cs="Times New Roman" w:cstheme="majorBidi" w:ascii="Times New Roman" w:hAnsi="Times New Roman"/>
          <w:sz w:val="20"/>
          <w:szCs w:val="20"/>
          <w:rtl w:val="true"/>
          <w:lang w:bidi="ar-DZ"/>
        </w:rPr>
      </w:r>
    </w:p>
    <w:p>
      <w:pPr>
        <w:pStyle w:val="Normal"/>
        <w:bidi w:val="1"/>
        <w:spacing w:lineRule="auto" w:line="276" w:before="0" w:after="0"/>
        <w:jc w:val="center"/>
        <w:rPr>
          <w:rFonts w:ascii="Simplified Arabic" w:hAnsi="Simplified Arabic" w:cs="Simplified Arabic"/>
          <w:b/>
          <w:b/>
          <w:bCs/>
          <w:sz w:val="40"/>
          <w:szCs w:val="40"/>
          <w:u w:val="single"/>
          <w:lang w:bidi="ar-DZ"/>
        </w:rPr>
      </w:pPr>
      <w:r>
        <w:rPr>
          <w:rFonts w:ascii="Simplified Arabic" w:hAnsi="Simplified Arabic" w:cs="Simplified Arabic"/>
          <w:b/>
          <w:b/>
          <w:bCs/>
          <w:sz w:val="40"/>
          <w:sz w:val="40"/>
          <w:szCs w:val="40"/>
          <w:u w:val="single"/>
          <w:rtl w:val="true"/>
          <w:lang w:bidi="ar-DZ"/>
        </w:rPr>
        <w:t>الإجابة ا</w:t>
      </w:r>
      <w:bookmarkStart w:id="0" w:name="_GoBack"/>
      <w:bookmarkEnd w:id="0"/>
      <w:r>
        <w:rPr>
          <w:rFonts w:ascii="Simplified Arabic" w:hAnsi="Simplified Arabic" w:cs="Simplified Arabic"/>
          <w:b/>
          <w:b/>
          <w:bCs/>
          <w:sz w:val="40"/>
          <w:sz w:val="40"/>
          <w:szCs w:val="40"/>
          <w:u w:val="single"/>
          <w:rtl w:val="true"/>
          <w:lang w:bidi="ar-DZ"/>
        </w:rPr>
        <w:t xml:space="preserve">لنموذجية في مقياس التغير والتنشئة الاجتماعية </w:t>
      </w:r>
    </w:p>
    <w:p>
      <w:pPr>
        <w:pStyle w:val="Normal"/>
        <w:bidi w:val="1"/>
        <w:spacing w:before="0" w:after="0"/>
        <w:jc w:val="both"/>
        <w:rPr>
          <w:rFonts w:ascii="Simplified Arabic" w:hAnsi="Simplified Arabic" w:cs="Simplified Arabic"/>
          <w:b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u w:val="single"/>
          <w:rtl w:val="true"/>
          <w:lang w:bidi="ar-DZ"/>
        </w:rPr>
        <w:t>الجواب الأول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: </w:t>
      </w: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 xml:space="preserve">شرح المفاهيم </w:t>
      </w:r>
    </w:p>
    <w:p>
      <w:pPr>
        <w:pStyle w:val="Normal"/>
        <w:bidi w:val="1"/>
        <w:spacing w:before="0" w:after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- </w:t>
      </w: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الهوية الثقافية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>: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هي بمثابة بصمة جماعية تمنح الفرد والمجتمع شعورا بالانتماء والخصوصية وتشمل العادات والتقاليد المشتركة، القيم، اللغة، الأكل وكل التفاصيل الثقافية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p>
      <w:pPr>
        <w:pStyle w:val="Normal"/>
        <w:bidi w:val="1"/>
        <w:spacing w:before="0" w:after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- </w:t>
      </w: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الاختراق التكنولوجي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: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الوصول غير المصرح به للبيانات والأنظمة الرقمية إلى جانب توغّل مباشر في الخصوصيات وعقول الشباب غير المحصن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p>
      <w:pPr>
        <w:pStyle w:val="Normal"/>
        <w:bidi w:val="1"/>
        <w:spacing w:before="0" w:after="0"/>
        <w:jc w:val="both"/>
        <w:rPr>
          <w:rFonts w:ascii="Simplified Arabic" w:hAnsi="Simplified Arabic" w:cs="Simplified Arabic"/>
          <w:b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u w:val="single"/>
          <w:rtl w:val="true"/>
          <w:lang w:bidi="ar-DZ"/>
        </w:rPr>
        <w:t>الجواب الثاني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: </w:t>
      </w: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تكون الإجابة بالحديث عن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: </w:t>
      </w:r>
    </w:p>
    <w:p>
      <w:pPr>
        <w:pStyle w:val="Normal"/>
        <w:tabs>
          <w:tab w:val="right" w:pos="283" w:leader="none"/>
          <w:tab w:val="right" w:pos="425" w:leader="none"/>
        </w:tabs>
        <w:bidi w:val="1"/>
        <w:spacing w:before="0" w:after="0"/>
        <w:jc w:val="both"/>
        <w:rPr>
          <w:rFonts w:ascii="Simplified Arabic" w:hAnsi="Simplified Arabic" w:cs="Simplified Arabic"/>
          <w:b/>
          <w:b/>
          <w:bCs/>
          <w:sz w:val="32"/>
          <w:szCs w:val="32"/>
          <w:lang w:bidi="ar-DZ"/>
        </w:rPr>
      </w:pPr>
      <w:r>
        <w:rPr>
          <w:rFonts w:cs="Simplified Arabic" w:ascii="Simplified Arabic" w:hAnsi="Simplified Arabic"/>
          <w:b/>
          <w:bCs/>
          <w:sz w:val="32"/>
          <w:szCs w:val="32"/>
          <w:lang w:bidi="ar-DZ"/>
        </w:rPr>
        <w:t>1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- </w:t>
      </w: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تراجع دور الفاعلين في العملية التنشيئية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>:</w:t>
      </w:r>
    </w:p>
    <w:p>
      <w:pPr>
        <w:pStyle w:val="ListParagraph"/>
        <w:numPr>
          <w:ilvl w:val="0"/>
          <w:numId w:val="1"/>
        </w:numPr>
        <w:tabs>
          <w:tab w:val="right" w:pos="283" w:leader="none"/>
          <w:tab w:val="right" w:pos="425" w:leader="none"/>
        </w:tabs>
        <w:bidi w:val="1"/>
        <w:spacing w:before="0" w:after="0"/>
        <w:ind w:left="0" w:hanging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تراجع السلطة الوالدية في الأسرة والتوجيه الأبوي لصالح التوجيه غير المراقب وغير المتحكم فيه عبر الوسائط الرقمية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p>
      <w:pPr>
        <w:pStyle w:val="Normal"/>
        <w:tabs>
          <w:tab w:val="right" w:pos="283" w:leader="none"/>
          <w:tab w:val="right" w:pos="425" w:leader="none"/>
        </w:tabs>
        <w:bidi w:val="1"/>
        <w:spacing w:before="0" w:after="0"/>
        <w:jc w:val="both"/>
        <w:rPr/>
      </w:pPr>
      <w:r>
        <w:rPr>
          <w:rFonts w:cs="Simplified Arabic" w:ascii="Simplified Arabic" w:hAnsi="Simplified Arabic"/>
          <w:sz w:val="32"/>
          <w:szCs w:val="32"/>
          <w:lang w:bidi="ar-DZ"/>
        </w:rPr>
        <w:t>2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-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تراجع سلطة المعلم لصالح الوسائط الرقمية حيث لم يعد المعلم المصدر الوحيد للمعلومة وصبحت المعلومة متوفرة باشكال متعددة وسهلة وتقدم بطرق ممتعة ومن مصادر مختلفة</w:t>
      </w:r>
    </w:p>
    <w:p>
      <w:pPr>
        <w:pStyle w:val="Normal"/>
        <w:tabs>
          <w:tab w:val="right" w:pos="283" w:leader="none"/>
          <w:tab w:val="right" w:pos="425" w:leader="none"/>
        </w:tabs>
        <w:bidi w:val="1"/>
        <w:spacing w:before="0" w:after="0"/>
        <w:jc w:val="both"/>
        <w:rPr/>
      </w:pP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الحلول المقترحة من الباحث</w:t>
      </w: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ين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>: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الحديث عن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: </w:t>
      </w:r>
    </w:p>
    <w:p>
      <w:pPr>
        <w:pStyle w:val="ListParagraph"/>
        <w:numPr>
          <w:ilvl w:val="0"/>
          <w:numId w:val="1"/>
        </w:numPr>
        <w:tabs>
          <w:tab w:val="right" w:pos="283" w:leader="none"/>
          <w:tab w:val="right" w:pos="425" w:leader="none"/>
        </w:tabs>
        <w:bidi w:val="1"/>
        <w:spacing w:before="0" w:after="0"/>
        <w:ind w:left="0" w:hanging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المرافقة الرقمية بدل الردع من طرف الوالدين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p>
      <w:pPr>
        <w:pStyle w:val="ListParagraph"/>
        <w:numPr>
          <w:ilvl w:val="0"/>
          <w:numId w:val="1"/>
        </w:numPr>
        <w:tabs>
          <w:tab w:val="right" w:pos="283" w:leader="none"/>
          <w:tab w:val="right" w:pos="425" w:leader="none"/>
        </w:tabs>
        <w:bidi w:val="1"/>
        <w:spacing w:before="0" w:after="0"/>
        <w:ind w:left="0" w:hanging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إدراج التربية الإعلامية في المناهج التعليمية قصد تنمية الوعي النقدي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p>
      <w:pPr>
        <w:pStyle w:val="Normal"/>
        <w:tabs>
          <w:tab w:val="right" w:pos="283" w:leader="none"/>
          <w:tab w:val="right" w:pos="425" w:leader="none"/>
        </w:tabs>
        <w:bidi w:val="1"/>
        <w:spacing w:before="0" w:after="0"/>
        <w:jc w:val="both"/>
        <w:rPr>
          <w:rFonts w:ascii="Simplified Arabic" w:hAnsi="Simplified Arabic" w:cs="Simplified Arabic"/>
          <w:b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u w:val="single"/>
          <w:rtl w:val="true"/>
          <w:lang w:bidi="ar-DZ"/>
        </w:rPr>
        <w:t>الجواب الثالث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 xml:space="preserve">: </w:t>
      </w: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مقال يتضمن مقدمة، عرض، خاتمة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>.</w:t>
      </w:r>
    </w:p>
    <w:p>
      <w:pPr>
        <w:pStyle w:val="Normal"/>
        <w:tabs>
          <w:tab w:val="right" w:pos="283" w:leader="none"/>
          <w:tab w:val="right" w:pos="425" w:leader="none"/>
        </w:tabs>
        <w:bidi w:val="1"/>
        <w:spacing w:before="0" w:after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المقدمة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>: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حول كيف أصبحت المواقع الرقمية تشكل الوعي السياسي الذي قد يكون وعيا زائفا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p>
      <w:pPr>
        <w:pStyle w:val="Normal"/>
        <w:bidi w:val="1"/>
        <w:spacing w:before="0" w:after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العرض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>: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 xml:space="preserve">الحديث عن الأدوات الرقمية لحشد المجتمع المدني 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(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التعليقات، الفيسبوك ومساحات التدوين، اليوتيوب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...)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 xml:space="preserve">، الخوارزميات وصناعة الوهم السياسي، التهديدات الهيكلية للمجال العام 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(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نموذج كريستيان فوكس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).</w:t>
      </w:r>
    </w:p>
    <w:p>
      <w:pPr>
        <w:pStyle w:val="Normal"/>
        <w:bidi w:val="1"/>
        <w:spacing w:before="0" w:after="0"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        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الحلول نحو بيئة رقمية آمنة الحديث عن المسؤولية التقنية، التكيّف المؤسسي، التحصين الأسري المرن، التثقيف الإعلامي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p>
      <w:pPr>
        <w:pStyle w:val="Normal"/>
        <w:bidi w:val="1"/>
        <w:spacing w:before="0" w:after="0"/>
        <w:jc w:val="both"/>
        <w:rPr/>
      </w:pPr>
      <w:r>
        <w:rPr>
          <w:rFonts w:ascii="Simplified Arabic" w:hAnsi="Simplified Arabic" w:cs="Simplified Arabic"/>
          <w:b/>
          <w:b/>
          <w:bCs/>
          <w:sz w:val="32"/>
          <w:sz w:val="32"/>
          <w:szCs w:val="32"/>
          <w:rtl w:val="true"/>
          <w:lang w:bidi="ar-DZ"/>
        </w:rPr>
        <w:t>الخاتمة</w:t>
      </w:r>
      <w:r>
        <w:rPr>
          <w:rFonts w:cs="Simplified Arabic" w:ascii="Simplified Arabic" w:hAnsi="Simplified Arabic"/>
          <w:b/>
          <w:bCs/>
          <w:sz w:val="32"/>
          <w:szCs w:val="32"/>
          <w:rtl w:val="true"/>
          <w:lang w:bidi="ar-DZ"/>
        </w:rPr>
        <w:t>: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 xml:space="preserve"> </w:t>
      </w:r>
      <w:r>
        <w:rPr>
          <w:rFonts w:ascii="Simplified Arabic" w:hAnsi="Simplified Arabic" w:cs="Simplified Arabic"/>
          <w:sz w:val="32"/>
          <w:sz w:val="32"/>
          <w:szCs w:val="32"/>
          <w:rtl w:val="true"/>
          <w:lang w:bidi="ar-DZ"/>
        </w:rPr>
        <w:t>تنمية الوعي النقدي كآلية نحو تنشئة سياسية آمنة في البيئة الرقمية</w:t>
      </w:r>
      <w:r>
        <w:rPr>
          <w:rFonts w:cs="Simplified Arabic" w:ascii="Simplified Arabic" w:hAnsi="Simplified Arabic"/>
          <w:sz w:val="32"/>
          <w:szCs w:val="32"/>
          <w:rtl w:val="true"/>
          <w:lang w:bidi="ar-DZ"/>
        </w:rPr>
        <w:t>.</w:t>
      </w:r>
    </w:p>
    <w:sectPr>
      <w:type w:val="nextPage"/>
      <w:pgSz w:w="11906" w:h="16838"/>
      <w:pgMar w:left="1417" w:right="1417" w:header="0" w:top="851" w:footer="0" w:bottom="1417" w:gutter="0"/>
      <w:pgBorders w:display="allPages" w:offsetFrom="page">
        <w:top w:val="single" w:sz="6" w:space="24" w:color="00000A"/>
        <w:left w:val="single" w:sz="6" w:space="24" w:color="00000A"/>
        <w:bottom w:val="single" w:sz="6" w:space="24" w:color="00000A"/>
        <w:right w:val="single" w:sz="6" w:space="24" w:color="00000A"/>
      </w:pgBorders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implified Arabic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implified Arabic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cs="Simplified Arabic" w:hint="default"/>
        <w:sz w:val="32"/>
        <w:rFonts w:cs="Simplified Arab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3707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Simplified Arabic" w:hAnsi="Simplified Arabic" w:eastAsia="Calibri" w:cs="Simplified Arabic"/>
      <w:sz w:val="32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40"/>
    </w:pPr>
    <w:rPr/>
  </w:style>
  <w:style w:type="paragraph" w:styleId="Liste">
    <w:name w:val="Liste"/>
    <w:basedOn w:val="Corpsdetexte"/>
    <w:pPr/>
    <w:rPr>
      <w:rFonts w:cs="Mang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50563c"/>
    <w:pPr>
      <w:spacing w:before="0" w:after="160"/>
      <w:ind w:left="720" w:hanging="0"/>
      <w:contextualSpacing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LibreOffice/5.0.6.3$Windows_x86 LibreOffice_project/490fc03b25318460cfc54456516ea2519c11d1aa</Application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2026-05-17T08:52:00Z</dcterms:created>
  <dc:creator>MY-PC</dc:creator>
  <dc:language>fr-FR</dc:language>
  <dcterms:modified xsi:type="dcterms:W3CDTF">2026-05-20T12:24:11Z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