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0DD" w:rsidRPr="00E55B45" w:rsidRDefault="009250DD" w:rsidP="009250DD">
      <w:pPr>
        <w:spacing w:after="0"/>
        <w:rPr>
          <w:rFonts w:ascii="Times New Roman" w:eastAsia="Calibri" w:hAnsi="Times New Roman" w:cs="Times New Roman"/>
          <w:b/>
          <w:bCs/>
          <w:i/>
          <w:iCs/>
          <w:color w:val="0F243E" w:themeColor="text2" w:themeShade="80"/>
          <w:sz w:val="24"/>
          <w:szCs w:val="24"/>
          <w:u w:val="single"/>
        </w:rPr>
      </w:pPr>
    </w:p>
    <w:p w:rsidR="009250DD" w:rsidRPr="00E55B45" w:rsidRDefault="009250DD" w:rsidP="009250DD">
      <w:pPr>
        <w:spacing w:after="0"/>
        <w:rPr>
          <w:rFonts w:ascii="Times New Roman" w:eastAsia="Calibri" w:hAnsi="Times New Roman" w:cs="Times New Roman"/>
          <w:b/>
          <w:bCs/>
          <w:i/>
          <w:iCs/>
          <w:color w:val="0F243E" w:themeColor="text2" w:themeShade="80"/>
          <w:sz w:val="24"/>
          <w:szCs w:val="24"/>
          <w:u w:val="single"/>
        </w:rPr>
      </w:pPr>
      <w:r w:rsidRPr="00E55B45">
        <w:rPr>
          <w:rFonts w:ascii="Times New Roman" w:eastAsia="Calibri" w:hAnsi="Times New Roman" w:cs="Times New Roman"/>
          <w:b/>
          <w:bCs/>
          <w:i/>
          <w:iCs/>
          <w:color w:val="0F243E" w:themeColor="text2" w:themeShade="80"/>
          <w:sz w:val="24"/>
          <w:szCs w:val="24"/>
          <w:u w:val="single"/>
        </w:rPr>
        <w:t>Université de Jijel</w:t>
      </w:r>
    </w:p>
    <w:p w:rsidR="009250DD" w:rsidRPr="00E55B45" w:rsidRDefault="009250DD" w:rsidP="009250DD">
      <w:pPr>
        <w:spacing w:after="0"/>
        <w:rPr>
          <w:rFonts w:ascii="Times New Roman" w:eastAsia="Calibri" w:hAnsi="Times New Roman" w:cs="Times New Roman"/>
          <w:b/>
          <w:bCs/>
          <w:i/>
          <w:iCs/>
          <w:color w:val="0F243E" w:themeColor="text2" w:themeShade="80"/>
          <w:sz w:val="24"/>
          <w:szCs w:val="24"/>
          <w:u w:val="single"/>
        </w:rPr>
      </w:pPr>
      <w:r w:rsidRPr="00E55B45">
        <w:rPr>
          <w:rFonts w:ascii="Times New Roman" w:eastAsia="Calibri" w:hAnsi="Times New Roman" w:cs="Times New Roman"/>
          <w:b/>
          <w:bCs/>
          <w:i/>
          <w:iCs/>
          <w:color w:val="0F243E" w:themeColor="text2" w:themeShade="80"/>
          <w:sz w:val="24"/>
          <w:szCs w:val="24"/>
          <w:u w:val="single"/>
        </w:rPr>
        <w:t>Faculté des Sciences de la Nature et de la Vie</w:t>
      </w:r>
    </w:p>
    <w:p w:rsidR="009250DD" w:rsidRPr="00E55B45" w:rsidRDefault="009250DD" w:rsidP="009250DD">
      <w:pPr>
        <w:spacing w:after="0"/>
        <w:rPr>
          <w:rFonts w:ascii="Times New Roman" w:eastAsia="Calibri" w:hAnsi="Times New Roman" w:cs="Times New Roman"/>
          <w:b/>
          <w:bCs/>
          <w:i/>
          <w:iCs/>
          <w:color w:val="0F243E" w:themeColor="text2" w:themeShade="80"/>
          <w:sz w:val="24"/>
          <w:szCs w:val="24"/>
          <w:u w:val="single"/>
        </w:rPr>
      </w:pPr>
      <w:r w:rsidRPr="00E55B45">
        <w:rPr>
          <w:rFonts w:ascii="Times New Roman" w:eastAsia="Calibri" w:hAnsi="Times New Roman" w:cs="Times New Roman"/>
          <w:b/>
          <w:bCs/>
          <w:i/>
          <w:iCs/>
          <w:color w:val="0F243E" w:themeColor="text2" w:themeShade="80"/>
          <w:sz w:val="24"/>
          <w:szCs w:val="24"/>
          <w:u w:val="single"/>
        </w:rPr>
        <w:t>Département de Biologie Moléculaire et Cellulaire</w:t>
      </w:r>
    </w:p>
    <w:p w:rsidR="009250DD" w:rsidRPr="00E55B45" w:rsidRDefault="009250DD" w:rsidP="009250DD">
      <w:pPr>
        <w:spacing w:after="0"/>
        <w:rPr>
          <w:rFonts w:ascii="Times New Roman" w:eastAsia="Calibri" w:hAnsi="Times New Roman" w:cs="Times New Roman"/>
          <w:b/>
          <w:bCs/>
          <w:i/>
          <w:iCs/>
          <w:color w:val="0F243E" w:themeColor="text2" w:themeShade="80"/>
          <w:sz w:val="24"/>
          <w:szCs w:val="24"/>
        </w:rPr>
      </w:pPr>
    </w:p>
    <w:p w:rsidR="009250DD" w:rsidRPr="00E55B45" w:rsidRDefault="009250DD" w:rsidP="009250DD">
      <w:pPr>
        <w:spacing w:after="0"/>
        <w:jc w:val="center"/>
        <w:rPr>
          <w:rFonts w:ascii="Times New Roman" w:eastAsia="Calibri" w:hAnsi="Times New Roman" w:cs="Times New Roman"/>
          <w:b/>
          <w:bCs/>
          <w:i/>
          <w:iCs/>
          <w:color w:val="0F243E" w:themeColor="text2" w:themeShade="80"/>
          <w:sz w:val="36"/>
          <w:szCs w:val="36"/>
          <w:u w:val="single"/>
        </w:rPr>
      </w:pPr>
    </w:p>
    <w:p w:rsidR="009250DD" w:rsidRPr="00E55B45" w:rsidRDefault="009250DD" w:rsidP="00D656A7">
      <w:pPr>
        <w:spacing w:after="0"/>
        <w:jc w:val="center"/>
        <w:rPr>
          <w:rFonts w:ascii="Times New Roman" w:eastAsia="Calibri" w:hAnsi="Times New Roman" w:cs="Times New Roman"/>
          <w:b/>
          <w:bCs/>
          <w:i/>
          <w:iCs/>
          <w:color w:val="0F243E" w:themeColor="text2" w:themeShade="80"/>
          <w:sz w:val="36"/>
          <w:szCs w:val="36"/>
          <w:u w:val="single"/>
        </w:rPr>
      </w:pPr>
      <w:r w:rsidRPr="00E55B45">
        <w:rPr>
          <w:rFonts w:ascii="Times New Roman" w:eastAsia="Calibri" w:hAnsi="Times New Roman" w:cs="Times New Roman"/>
          <w:b/>
          <w:bCs/>
          <w:i/>
          <w:iCs/>
          <w:color w:val="0F243E" w:themeColor="text2" w:themeShade="80"/>
          <w:sz w:val="36"/>
          <w:szCs w:val="36"/>
          <w:u w:val="single"/>
        </w:rPr>
        <w:t>Série n</w:t>
      </w:r>
      <w:r w:rsidRPr="00E55B45">
        <w:rPr>
          <w:rFonts w:ascii="Times New Roman" w:eastAsia="Calibri" w:hAnsi="Times New Roman" w:cs="Times New Roman"/>
          <w:b/>
          <w:bCs/>
          <w:i/>
          <w:iCs/>
          <w:color w:val="0F243E" w:themeColor="text2" w:themeShade="80"/>
          <w:sz w:val="28"/>
          <w:szCs w:val="28"/>
          <w:u w:val="single"/>
          <w:vertAlign w:val="superscript"/>
        </w:rPr>
        <w:t>O</w:t>
      </w:r>
      <w:r w:rsidRPr="00E55B45">
        <w:rPr>
          <w:rFonts w:ascii="Times New Roman" w:eastAsia="Calibri" w:hAnsi="Times New Roman" w:cs="Times New Roman"/>
          <w:b/>
          <w:bCs/>
          <w:i/>
          <w:iCs/>
          <w:color w:val="0F243E" w:themeColor="text2" w:themeShade="80"/>
          <w:sz w:val="36"/>
          <w:szCs w:val="36"/>
          <w:u w:val="single"/>
        </w:rPr>
        <w:t xml:space="preserve"> </w:t>
      </w:r>
      <w:r w:rsidR="00D656A7">
        <w:rPr>
          <w:rFonts w:ascii="Times New Roman" w:eastAsia="Calibri" w:hAnsi="Times New Roman" w:cs="Times New Roman"/>
          <w:b/>
          <w:bCs/>
          <w:i/>
          <w:iCs/>
          <w:color w:val="0F243E" w:themeColor="text2" w:themeShade="80"/>
          <w:sz w:val="36"/>
          <w:szCs w:val="36"/>
          <w:u w:val="single"/>
        </w:rPr>
        <w:t>4</w:t>
      </w:r>
    </w:p>
    <w:p w:rsidR="009250DD" w:rsidRPr="00E55B45" w:rsidRDefault="009250DD" w:rsidP="009250DD">
      <w:pPr>
        <w:spacing w:after="0"/>
        <w:rPr>
          <w:rFonts w:ascii="Times New Roman" w:eastAsia="Calibri" w:hAnsi="Times New Roman" w:cs="Times New Roman"/>
          <w:b/>
          <w:bCs/>
          <w:i/>
          <w:iCs/>
          <w:color w:val="0F243E" w:themeColor="text2" w:themeShade="80"/>
          <w:sz w:val="28"/>
          <w:szCs w:val="28"/>
          <w:u w:val="single"/>
        </w:rPr>
      </w:pPr>
      <w:r w:rsidRPr="00E55B45">
        <w:rPr>
          <w:rFonts w:ascii="Times New Roman" w:eastAsia="Calibri" w:hAnsi="Times New Roman" w:cs="Times New Roman"/>
          <w:b/>
          <w:bCs/>
          <w:i/>
          <w:iCs/>
          <w:color w:val="0F243E" w:themeColor="text2" w:themeShade="80"/>
          <w:sz w:val="28"/>
          <w:szCs w:val="28"/>
          <w:u w:val="single"/>
        </w:rPr>
        <w:t>Exercice 1 :</w:t>
      </w:r>
    </w:p>
    <w:p w:rsidR="009250DD" w:rsidRPr="00E55B45" w:rsidRDefault="00E04629" w:rsidP="009250DD">
      <w:pPr>
        <w:spacing w:before="100" w:beforeAutospacing="1" w:after="100" w:afterAutospacing="1" w:line="240" w:lineRule="auto"/>
        <w:jc w:val="both"/>
        <w:rPr>
          <w:rFonts w:ascii="Times New Roman" w:eastAsia="Times New Roman" w:hAnsi="Times New Roman" w:cs="Times New Roman"/>
          <w:noProof/>
          <w:color w:val="0F243E" w:themeColor="text2" w:themeShade="80"/>
          <w:sz w:val="24"/>
          <w:szCs w:val="24"/>
          <w:lang w:eastAsia="fr-FR"/>
        </w:rPr>
      </w:pPr>
      <w:r w:rsidRPr="00E55B45">
        <w:rPr>
          <w:rFonts w:ascii="Times New Roman" w:eastAsia="Times New Roman" w:hAnsi="Times New Roman" w:cs="Times New Roman"/>
          <w:noProof/>
          <w:color w:val="0F243E" w:themeColor="text2" w:themeShade="80"/>
          <w:sz w:val="24"/>
          <w:szCs w:val="24"/>
          <w:lang w:eastAsia="fr-FR"/>
        </w:rPr>
        <w:t xml:space="preserve">a) </w:t>
      </w:r>
      <w:r w:rsidR="009250DD" w:rsidRPr="00E55B45">
        <w:rPr>
          <w:rFonts w:ascii="Times New Roman" w:eastAsia="Times New Roman" w:hAnsi="Times New Roman" w:cs="Times New Roman"/>
          <w:noProof/>
          <w:color w:val="0F243E" w:themeColor="text2" w:themeShade="80"/>
          <w:sz w:val="24"/>
          <w:szCs w:val="24"/>
          <w:lang w:eastAsia="fr-FR"/>
        </w:rPr>
        <w:t xml:space="preserve">Dans une forme particulière d'hypercholestérolémie familiale, les LDL se lient à la surface de la cellule mais ne peuvent pas être internalisées. On peut observer en microscopie électronique que les cellules de ces personnes ont des puits enveloppés normaux. Cependant les LDL ne se lient pas à eux mais restent distribués uniformément à la surface des cellules. </w:t>
      </w:r>
      <w:bookmarkStart w:id="0" w:name="_GoBack"/>
      <w:bookmarkEnd w:id="0"/>
    </w:p>
    <w:p w:rsidR="009250DD" w:rsidRPr="00E55B45" w:rsidRDefault="00016737" w:rsidP="00016737">
      <w:pPr>
        <w:spacing w:before="100" w:beforeAutospacing="1" w:after="100" w:afterAutospacing="1" w:line="240" w:lineRule="auto"/>
        <w:jc w:val="both"/>
        <w:rPr>
          <w:rFonts w:ascii="Times New Roman" w:eastAsia="Times New Roman" w:hAnsi="Times New Roman" w:cs="Times New Roman"/>
          <w:b/>
          <w:bCs/>
          <w:i/>
          <w:iCs/>
          <w:noProof/>
          <w:color w:val="0F243E" w:themeColor="text2" w:themeShade="80"/>
          <w:sz w:val="24"/>
          <w:szCs w:val="24"/>
          <w:lang w:eastAsia="fr-FR"/>
        </w:rPr>
      </w:pPr>
      <w:r w:rsidRPr="00E55B45">
        <w:rPr>
          <w:rFonts w:ascii="Times New Roman" w:eastAsia="Times New Roman" w:hAnsi="Times New Roman" w:cs="Times New Roman"/>
          <w:b/>
          <w:bCs/>
          <w:i/>
          <w:iCs/>
          <w:noProof/>
          <w:color w:val="0F243E" w:themeColor="text2" w:themeShade="80"/>
          <w:sz w:val="24"/>
          <w:szCs w:val="24"/>
          <w:lang w:eastAsia="fr-FR"/>
        </w:rPr>
        <w:t xml:space="preserve">- </w:t>
      </w:r>
      <w:r w:rsidR="009250DD" w:rsidRPr="00E55B45">
        <w:rPr>
          <w:rFonts w:ascii="Times New Roman" w:eastAsia="Times New Roman" w:hAnsi="Times New Roman" w:cs="Times New Roman"/>
          <w:b/>
          <w:bCs/>
          <w:i/>
          <w:iCs/>
          <w:noProof/>
          <w:color w:val="0F243E" w:themeColor="text2" w:themeShade="80"/>
          <w:sz w:val="24"/>
          <w:szCs w:val="24"/>
          <w:lang w:eastAsia="fr-FR"/>
        </w:rPr>
        <w:t xml:space="preserve">Qu'est-ce que ces observations permettent de déduire quand au mécanisme de formation des puits enveloppés. </w:t>
      </w:r>
    </w:p>
    <w:p w:rsidR="009250DD" w:rsidRPr="00E55B45" w:rsidRDefault="00016737" w:rsidP="009250DD">
      <w:pPr>
        <w:spacing w:before="100" w:beforeAutospacing="1" w:after="100" w:afterAutospacing="1" w:line="240" w:lineRule="auto"/>
        <w:jc w:val="both"/>
        <w:rPr>
          <w:rFonts w:ascii="Times New Roman" w:eastAsia="Times New Roman" w:hAnsi="Times New Roman" w:cs="Times New Roman"/>
          <w:b/>
          <w:bCs/>
          <w:i/>
          <w:iCs/>
          <w:color w:val="0F243E" w:themeColor="text2" w:themeShade="80"/>
          <w:sz w:val="24"/>
          <w:szCs w:val="24"/>
          <w:lang w:eastAsia="fr-FR"/>
        </w:rPr>
      </w:pPr>
      <w:r w:rsidRPr="00E55B45">
        <w:rPr>
          <w:rFonts w:ascii="Times New Roman" w:eastAsia="Times New Roman" w:hAnsi="Times New Roman" w:cs="Times New Roman"/>
          <w:b/>
          <w:bCs/>
          <w:i/>
          <w:iCs/>
          <w:color w:val="0F243E" w:themeColor="text2" w:themeShade="80"/>
          <w:sz w:val="24"/>
          <w:szCs w:val="24"/>
          <w:lang w:eastAsia="fr-FR"/>
        </w:rPr>
        <w:t xml:space="preserve">- </w:t>
      </w:r>
      <w:r w:rsidR="009250DD" w:rsidRPr="00E55B45">
        <w:rPr>
          <w:rFonts w:ascii="Times New Roman" w:eastAsia="Times New Roman" w:hAnsi="Times New Roman" w:cs="Times New Roman"/>
          <w:b/>
          <w:bCs/>
          <w:i/>
          <w:iCs/>
          <w:color w:val="0F243E" w:themeColor="text2" w:themeShade="80"/>
          <w:sz w:val="24"/>
          <w:szCs w:val="24"/>
          <w:lang w:eastAsia="fr-FR"/>
        </w:rPr>
        <w:t>Quelle seraient les conséquences de l'absence "d'oreilles" sur l'adaptine (l’adaptateur AP2)?</w:t>
      </w:r>
    </w:p>
    <w:p w:rsidR="009250DD" w:rsidRPr="00E55B45" w:rsidRDefault="00E04629" w:rsidP="009250DD">
      <w:pPr>
        <w:spacing w:before="100" w:beforeAutospacing="1" w:after="100" w:afterAutospacing="1" w:line="240" w:lineRule="auto"/>
        <w:jc w:val="both"/>
        <w:rPr>
          <w:rFonts w:ascii="Times New Roman" w:eastAsia="Times New Roman" w:hAnsi="Times New Roman" w:cs="Times New Roman"/>
          <w:color w:val="0F243E" w:themeColor="text2" w:themeShade="80"/>
          <w:sz w:val="24"/>
          <w:szCs w:val="24"/>
          <w:lang w:eastAsia="fr-FR"/>
        </w:rPr>
      </w:pPr>
      <w:r w:rsidRPr="00E55B45">
        <w:rPr>
          <w:rFonts w:ascii="Times New Roman" w:eastAsia="Times New Roman" w:hAnsi="Times New Roman" w:cs="Times New Roman"/>
          <w:color w:val="0F243E" w:themeColor="text2" w:themeShade="80"/>
          <w:sz w:val="24"/>
          <w:szCs w:val="24"/>
          <w:lang w:eastAsia="fr-FR"/>
        </w:rPr>
        <w:t xml:space="preserve">b) </w:t>
      </w:r>
      <w:r w:rsidR="009250DD" w:rsidRPr="00E55B45">
        <w:rPr>
          <w:rFonts w:ascii="Times New Roman" w:eastAsia="Times New Roman" w:hAnsi="Times New Roman" w:cs="Times New Roman"/>
          <w:color w:val="0F243E" w:themeColor="text2" w:themeShade="80"/>
          <w:sz w:val="24"/>
          <w:szCs w:val="24"/>
          <w:lang w:eastAsia="fr-FR"/>
        </w:rPr>
        <w:t>Par manipulation expérimentale on peut installer les t-SNARE</w:t>
      </w:r>
      <w:r w:rsidR="009250DD" w:rsidRPr="00E55B45">
        <w:rPr>
          <w:rFonts w:ascii="Times New Roman" w:eastAsia="Times New Roman" w:hAnsi="Times New Roman" w:cs="Times New Roman"/>
          <w:color w:val="0F243E" w:themeColor="text2" w:themeShade="80"/>
          <w:sz w:val="24"/>
          <w:szCs w:val="24"/>
          <w:vertAlign w:val="subscript"/>
          <w:lang w:eastAsia="fr-FR"/>
        </w:rPr>
        <w:t>lys</w:t>
      </w:r>
      <w:r w:rsidR="009250DD" w:rsidRPr="00E55B45">
        <w:rPr>
          <w:rFonts w:ascii="Times New Roman" w:eastAsia="Times New Roman" w:hAnsi="Times New Roman" w:cs="Times New Roman"/>
          <w:color w:val="0F243E" w:themeColor="text2" w:themeShade="80"/>
          <w:sz w:val="24"/>
          <w:szCs w:val="24"/>
          <w:lang w:eastAsia="fr-FR"/>
        </w:rPr>
        <w:t xml:space="preserve"> qu'on vient de découvrir et qui sont spécifiques aux lysosomes sur la membrane plasmique tout en les éliminant des lysosomes. </w:t>
      </w:r>
    </w:p>
    <w:p w:rsidR="009250DD" w:rsidRPr="00E55B45" w:rsidRDefault="00016737" w:rsidP="00016737">
      <w:pPr>
        <w:spacing w:before="100" w:beforeAutospacing="1" w:after="100" w:afterAutospacing="1" w:line="240" w:lineRule="auto"/>
        <w:jc w:val="both"/>
        <w:rPr>
          <w:rFonts w:ascii="Times New Roman" w:eastAsia="Times New Roman" w:hAnsi="Times New Roman" w:cs="Times New Roman"/>
          <w:b/>
          <w:bCs/>
          <w:i/>
          <w:iCs/>
          <w:color w:val="0F243E" w:themeColor="text2" w:themeShade="80"/>
          <w:sz w:val="24"/>
          <w:szCs w:val="24"/>
          <w:lang w:eastAsia="fr-FR"/>
        </w:rPr>
      </w:pPr>
      <w:r w:rsidRPr="00E55B45">
        <w:rPr>
          <w:rFonts w:ascii="Times New Roman" w:eastAsia="Times New Roman" w:hAnsi="Times New Roman" w:cs="Times New Roman"/>
          <w:b/>
          <w:bCs/>
          <w:i/>
          <w:iCs/>
          <w:color w:val="0F243E" w:themeColor="text2" w:themeShade="80"/>
          <w:sz w:val="24"/>
          <w:szCs w:val="24"/>
          <w:lang w:eastAsia="fr-FR"/>
        </w:rPr>
        <w:t xml:space="preserve">- </w:t>
      </w:r>
      <w:r w:rsidR="009250DD" w:rsidRPr="00E55B45">
        <w:rPr>
          <w:rFonts w:ascii="Times New Roman" w:eastAsia="Times New Roman" w:hAnsi="Times New Roman" w:cs="Times New Roman"/>
          <w:b/>
          <w:bCs/>
          <w:i/>
          <w:iCs/>
          <w:color w:val="0F243E" w:themeColor="text2" w:themeShade="80"/>
          <w:sz w:val="24"/>
          <w:szCs w:val="24"/>
          <w:lang w:eastAsia="fr-FR"/>
        </w:rPr>
        <w:t>Quelle serait la conséquence sur des cellules ayant subies cette manipulation.</w:t>
      </w:r>
    </w:p>
    <w:p w:rsidR="00016737" w:rsidRPr="00E55B45" w:rsidRDefault="00016737" w:rsidP="00016737">
      <w:pPr>
        <w:spacing w:before="100" w:beforeAutospacing="1" w:after="100" w:afterAutospacing="1" w:line="240" w:lineRule="auto"/>
        <w:jc w:val="both"/>
        <w:rPr>
          <w:rFonts w:ascii="Times New Roman" w:eastAsia="Times New Roman" w:hAnsi="Times New Roman" w:cs="Times New Roman"/>
          <w:b/>
          <w:bCs/>
          <w:color w:val="0F243E" w:themeColor="text2" w:themeShade="80"/>
          <w:sz w:val="24"/>
          <w:szCs w:val="24"/>
          <w:u w:val="single"/>
          <w:lang w:eastAsia="fr-FR"/>
        </w:rPr>
      </w:pPr>
      <w:r w:rsidRPr="00E55B45">
        <w:rPr>
          <w:rFonts w:ascii="Times New Roman" w:eastAsia="Times New Roman" w:hAnsi="Times New Roman" w:cs="Times New Roman"/>
          <w:b/>
          <w:bCs/>
          <w:color w:val="0F243E" w:themeColor="text2" w:themeShade="80"/>
          <w:sz w:val="24"/>
          <w:szCs w:val="24"/>
          <w:u w:val="single"/>
          <w:lang w:eastAsia="fr-FR"/>
        </w:rPr>
        <w:t>Exercice 02 :</w:t>
      </w:r>
    </w:p>
    <w:p w:rsidR="00016737" w:rsidRPr="00E55B45" w:rsidRDefault="00016737" w:rsidP="00E04629">
      <w:pPr>
        <w:spacing w:before="100" w:beforeAutospacing="1" w:after="100" w:afterAutospacing="1" w:line="240" w:lineRule="auto"/>
        <w:jc w:val="both"/>
        <w:rPr>
          <w:rFonts w:ascii="Times New Roman" w:eastAsia="Times New Roman" w:hAnsi="Times New Roman" w:cs="Times New Roman"/>
          <w:color w:val="0F243E" w:themeColor="text2" w:themeShade="80"/>
          <w:sz w:val="24"/>
          <w:szCs w:val="24"/>
          <w:lang w:eastAsia="fr-FR"/>
        </w:rPr>
      </w:pPr>
      <w:r w:rsidRPr="00E55B45">
        <w:rPr>
          <w:rFonts w:ascii="Times New Roman" w:eastAsia="Times New Roman" w:hAnsi="Times New Roman" w:cs="Times New Roman"/>
          <w:color w:val="0F243E" w:themeColor="text2" w:themeShade="80"/>
          <w:sz w:val="24"/>
          <w:szCs w:val="24"/>
          <w:lang w:eastAsia="fr-FR"/>
        </w:rPr>
        <w:t xml:space="preserve">Les patients présentant un syndrome de Hunter ou un syndrome de Hurler vivent rarement après l’adolescence. Les analyses indiquent que les deux types de patients accumulent des glycosaminoglycanes du fait de l’absence d’une enzyme lysosomale spécifique, nécessaire à leur dégradation. Quand les cellules des patients souffrant des deux syndromes sont fusionnées et cultivées </w:t>
      </w:r>
      <w:r w:rsidRPr="00E55B45">
        <w:rPr>
          <w:rFonts w:ascii="Times New Roman" w:eastAsia="Times New Roman" w:hAnsi="Times New Roman" w:cs="Times New Roman"/>
          <w:i/>
          <w:iCs/>
          <w:color w:val="0F243E" w:themeColor="text2" w:themeShade="80"/>
          <w:sz w:val="24"/>
          <w:szCs w:val="24"/>
          <w:lang w:eastAsia="fr-FR"/>
        </w:rPr>
        <w:t>in vitro</w:t>
      </w:r>
      <w:r w:rsidRPr="00E55B45">
        <w:rPr>
          <w:rFonts w:ascii="Times New Roman" w:eastAsia="Times New Roman" w:hAnsi="Times New Roman" w:cs="Times New Roman"/>
          <w:color w:val="0F243E" w:themeColor="text2" w:themeShade="80"/>
          <w:sz w:val="24"/>
          <w:szCs w:val="24"/>
          <w:lang w:eastAsia="fr-FR"/>
        </w:rPr>
        <w:t xml:space="preserve">, les glycosaminoglycanes sont dégradés. De plus, si les cellules sont simplement cultivées dans le même milieu, elles corrigentmutuellement leur défaut. Enfin, plus surprenant encore, le milieu de culture des cellules Hurler corrige le défaut de cellules Hunter, et vice-versa. Les facteurs correcteurs présents dans le milieu sont inactivés par traitement </w:t>
      </w:r>
      <w:r w:rsidR="00E04629" w:rsidRPr="00E55B45">
        <w:rPr>
          <w:rFonts w:ascii="Times New Roman" w:eastAsia="Times New Roman" w:hAnsi="Times New Roman" w:cs="Times New Roman"/>
          <w:color w:val="0F243E" w:themeColor="text2" w:themeShade="80"/>
          <w:sz w:val="24"/>
          <w:szCs w:val="24"/>
          <w:lang w:eastAsia="fr-FR"/>
        </w:rPr>
        <w:t>avec des phosphatases ou des</w:t>
      </w:r>
      <w:r w:rsidRPr="00E55B45">
        <w:rPr>
          <w:rFonts w:ascii="Times New Roman" w:eastAsia="Times New Roman" w:hAnsi="Times New Roman" w:cs="Times New Roman"/>
          <w:color w:val="0F243E" w:themeColor="text2" w:themeShade="80"/>
          <w:sz w:val="24"/>
          <w:szCs w:val="24"/>
          <w:lang w:eastAsia="fr-FR"/>
        </w:rPr>
        <w:t xml:space="preserve"> glycosidases.</w:t>
      </w:r>
    </w:p>
    <w:p w:rsidR="00016737" w:rsidRPr="00E55B45" w:rsidRDefault="00016737" w:rsidP="00016737">
      <w:pPr>
        <w:spacing w:before="100" w:beforeAutospacing="1" w:after="100" w:afterAutospacing="1" w:line="240" w:lineRule="auto"/>
        <w:jc w:val="both"/>
        <w:rPr>
          <w:rFonts w:ascii="Times New Roman" w:eastAsia="Times New Roman" w:hAnsi="Times New Roman" w:cs="Times New Roman"/>
          <w:b/>
          <w:bCs/>
          <w:i/>
          <w:iCs/>
          <w:color w:val="0F243E" w:themeColor="text2" w:themeShade="80"/>
          <w:sz w:val="24"/>
          <w:szCs w:val="24"/>
          <w:lang w:eastAsia="fr-FR"/>
        </w:rPr>
      </w:pPr>
      <w:r w:rsidRPr="00E55B45">
        <w:rPr>
          <w:rFonts w:ascii="Times New Roman" w:eastAsia="Times New Roman" w:hAnsi="Times New Roman" w:cs="Times New Roman"/>
          <w:b/>
          <w:bCs/>
          <w:i/>
          <w:iCs/>
          <w:color w:val="0F243E" w:themeColor="text2" w:themeShade="80"/>
          <w:sz w:val="24"/>
          <w:szCs w:val="24"/>
          <w:lang w:eastAsia="fr-FR"/>
        </w:rPr>
        <w:t>- Montrer à l’aide d’un schéma comment la culture dans le même milieu des cellules Hunter et des cellules Hurler peut contribuer à corriger la pathologie liée à ces syndromes.</w:t>
      </w:r>
    </w:p>
    <w:p w:rsidR="00016737" w:rsidRPr="00E55B45" w:rsidRDefault="00016737" w:rsidP="00E04629">
      <w:pPr>
        <w:spacing w:before="100" w:beforeAutospacing="1" w:after="100" w:afterAutospacing="1" w:line="240" w:lineRule="auto"/>
        <w:jc w:val="both"/>
        <w:rPr>
          <w:rFonts w:ascii="Times New Roman" w:eastAsia="Times New Roman" w:hAnsi="Times New Roman" w:cs="Times New Roman"/>
          <w:b/>
          <w:bCs/>
          <w:i/>
          <w:iCs/>
          <w:color w:val="0F243E" w:themeColor="text2" w:themeShade="80"/>
          <w:sz w:val="24"/>
          <w:szCs w:val="24"/>
          <w:lang w:eastAsia="fr-FR"/>
        </w:rPr>
      </w:pPr>
      <w:r w:rsidRPr="00E55B45">
        <w:rPr>
          <w:rFonts w:ascii="Times New Roman" w:eastAsia="Times New Roman" w:hAnsi="Times New Roman" w:cs="Times New Roman"/>
          <w:b/>
          <w:bCs/>
          <w:i/>
          <w:iCs/>
          <w:color w:val="0F243E" w:themeColor="text2" w:themeShade="80"/>
          <w:sz w:val="24"/>
          <w:szCs w:val="24"/>
          <w:lang w:eastAsia="fr-FR"/>
        </w:rPr>
        <w:t>- A votre avis, pourquoi les traitements avec des glycosidases ou des phosphatases inactivent-ils les facteurs correcteurs ?</w:t>
      </w:r>
    </w:p>
    <w:sectPr w:rsidR="00016737" w:rsidRPr="00E55B45" w:rsidSect="00AC22A3">
      <w:headerReference w:type="default" r:id="rId8"/>
      <w:footerReference w:type="default" r:id="rId9"/>
      <w:pgSz w:w="11906" w:h="16838" w:code="9"/>
      <w:pgMar w:top="851" w:right="851" w:bottom="851" w:left="851" w:header="709" w:footer="1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950" w:rsidRDefault="000C4950" w:rsidP="009250DD">
      <w:pPr>
        <w:spacing w:after="0" w:line="240" w:lineRule="auto"/>
      </w:pPr>
      <w:r>
        <w:separator/>
      </w:r>
    </w:p>
  </w:endnote>
  <w:endnote w:type="continuationSeparator" w:id="0">
    <w:p w:rsidR="000C4950" w:rsidRDefault="000C4950" w:rsidP="0092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2A3" w:rsidRDefault="00D90C28" w:rsidP="00AC22A3">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2013-2014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7D7C99">
      <w:rPr>
        <w:rFonts w:eastAsiaTheme="minorEastAsia"/>
      </w:rPr>
      <w:fldChar w:fldCharType="begin"/>
    </w:r>
    <w:r>
      <w:instrText>PAGE   \* MERGEFORMAT</w:instrText>
    </w:r>
    <w:r w:rsidR="007D7C99">
      <w:rPr>
        <w:rFonts w:eastAsiaTheme="minorEastAsia"/>
      </w:rPr>
      <w:fldChar w:fldCharType="separate"/>
    </w:r>
    <w:r w:rsidR="00D656A7" w:rsidRPr="00D656A7">
      <w:rPr>
        <w:rFonts w:asciiTheme="majorHAnsi" w:eastAsiaTheme="majorEastAsia" w:hAnsiTheme="majorHAnsi" w:cstheme="majorBidi"/>
        <w:noProof/>
      </w:rPr>
      <w:t>1</w:t>
    </w:r>
    <w:r w:rsidR="007D7C99">
      <w:rPr>
        <w:rFonts w:asciiTheme="majorHAnsi" w:eastAsiaTheme="majorEastAsia" w:hAnsiTheme="majorHAnsi" w:cstheme="majorBidi"/>
      </w:rPr>
      <w:fldChar w:fldCharType="end"/>
    </w:r>
  </w:p>
  <w:p w:rsidR="00AC22A3" w:rsidRDefault="000C495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950" w:rsidRDefault="000C4950" w:rsidP="009250DD">
      <w:pPr>
        <w:spacing w:after="0" w:line="240" w:lineRule="auto"/>
      </w:pPr>
      <w:r>
        <w:separator/>
      </w:r>
    </w:p>
  </w:footnote>
  <w:footnote w:type="continuationSeparator" w:id="0">
    <w:p w:rsidR="000C4950" w:rsidRDefault="000C4950" w:rsidP="00925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077"/>
      <w:gridCol w:w="5357"/>
    </w:tblGrid>
    <w:tr w:rsidR="00AC22A3" w:rsidTr="00AC22A3">
      <w:trPr>
        <w:trHeight w:val="288"/>
      </w:trPr>
      <w:sdt>
        <w:sdtPr>
          <w:rPr>
            <w:rFonts w:asciiTheme="majorBidi" w:hAnsiTheme="majorBidi" w:cstheme="majorBidi"/>
            <w:b/>
            <w:bCs/>
            <w:i/>
            <w:iCs/>
            <w:sz w:val="24"/>
            <w:szCs w:val="24"/>
          </w:rPr>
          <w:alias w:val="Titre"/>
          <w:id w:val="77761602"/>
          <w:placeholder>
            <w:docPart w:val="10B0DBFDA812429B82904896FFFD3D09"/>
          </w:placeholder>
          <w:dataBinding w:prefixMappings="xmlns:ns0='http://schemas.openxmlformats.org/package/2006/metadata/core-properties' xmlns:ns1='http://purl.org/dc/elements/1.1/'" w:xpath="/ns0:coreProperties[1]/ns1:title[1]" w:storeItemID="{6C3C8BC8-F283-45AE-878A-BAB7291924A1}"/>
          <w:text/>
        </w:sdtPr>
        <w:sdtEndPr/>
        <w:sdtContent>
          <w:tc>
            <w:tcPr>
              <w:tcW w:w="5077" w:type="dxa"/>
            </w:tcPr>
            <w:p w:rsidR="00AC22A3" w:rsidRDefault="009250DD" w:rsidP="00E55B45">
              <w:pPr>
                <w:pStyle w:val="En-tte"/>
                <w:rPr>
                  <w:rFonts w:asciiTheme="majorHAnsi" w:eastAsiaTheme="majorEastAsia" w:hAnsiTheme="majorHAnsi" w:cstheme="majorBidi"/>
                  <w:sz w:val="36"/>
                  <w:szCs w:val="36"/>
                </w:rPr>
              </w:pPr>
              <w:r w:rsidRPr="009250DD">
                <w:rPr>
                  <w:rFonts w:asciiTheme="majorBidi" w:hAnsiTheme="majorBidi" w:cstheme="majorBidi"/>
                  <w:b/>
                  <w:bCs/>
                  <w:i/>
                  <w:iCs/>
                  <w:sz w:val="24"/>
                  <w:szCs w:val="24"/>
                </w:rPr>
                <w:t>MASTER I Biologie Moléculaire</w:t>
              </w:r>
              <w:r w:rsidR="00E55B45">
                <w:rPr>
                  <w:rFonts w:asciiTheme="majorBidi" w:hAnsiTheme="majorBidi" w:cstheme="majorBidi"/>
                  <w:b/>
                  <w:bCs/>
                  <w:i/>
                  <w:iCs/>
                  <w:sz w:val="24"/>
                  <w:szCs w:val="24"/>
                </w:rPr>
                <w:t xml:space="preserve"> et Cellulaire</w:t>
              </w:r>
            </w:p>
          </w:tc>
        </w:sdtContent>
      </w:sdt>
      <w:sdt>
        <w:sdtPr>
          <w:rPr>
            <w:rFonts w:asciiTheme="majorBidi" w:hAnsiTheme="majorBidi" w:cstheme="majorBidi"/>
            <w:i/>
            <w:iCs/>
          </w:rPr>
          <w:alias w:val="Année"/>
          <w:id w:val="77761609"/>
          <w:placeholder>
            <w:docPart w:val="71CC7E6B49F5476AA468992D909DBA4E"/>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EndPr/>
        <w:sdtContent>
          <w:tc>
            <w:tcPr>
              <w:tcW w:w="5357" w:type="dxa"/>
            </w:tcPr>
            <w:p w:rsidR="00AC22A3" w:rsidRDefault="009250DD">
              <w:pPr>
                <w:pStyle w:val="En-tte"/>
                <w:rPr>
                  <w:rFonts w:asciiTheme="majorHAnsi" w:eastAsiaTheme="majorEastAsia" w:hAnsiTheme="majorHAnsi" w:cstheme="majorBidi"/>
                  <w:b/>
                  <w:bCs/>
                  <w:color w:val="4F81BD" w:themeColor="accent1"/>
                  <w:sz w:val="36"/>
                  <w:szCs w:val="36"/>
                </w:rPr>
              </w:pPr>
              <w:r w:rsidRPr="009250DD">
                <w:rPr>
                  <w:rFonts w:asciiTheme="majorBidi" w:hAnsiTheme="majorBidi" w:cstheme="majorBidi"/>
                  <w:i/>
                  <w:iCs/>
                </w:rPr>
                <w:t>Maturation  des Protéines et Modulation de leur Fonction</w:t>
              </w:r>
            </w:p>
          </w:tc>
        </w:sdtContent>
      </w:sdt>
    </w:tr>
  </w:tbl>
  <w:p w:rsidR="00AC22A3" w:rsidRDefault="000C495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026162"/>
    <w:multiLevelType w:val="hybridMultilevel"/>
    <w:tmpl w:val="10FE39F4"/>
    <w:lvl w:ilvl="0" w:tplc="95CC4CC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F666D1A"/>
    <w:multiLevelType w:val="hybridMultilevel"/>
    <w:tmpl w:val="559A5438"/>
    <w:lvl w:ilvl="0" w:tplc="0D3657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4DD0442"/>
    <w:multiLevelType w:val="hybridMultilevel"/>
    <w:tmpl w:val="D54EB00C"/>
    <w:lvl w:ilvl="0" w:tplc="A80A0FF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DD"/>
    <w:rsid w:val="00016737"/>
    <w:rsid w:val="000C4950"/>
    <w:rsid w:val="00316B76"/>
    <w:rsid w:val="004915AC"/>
    <w:rsid w:val="007D7C99"/>
    <w:rsid w:val="008B745F"/>
    <w:rsid w:val="009250DD"/>
    <w:rsid w:val="00994136"/>
    <w:rsid w:val="009F209D"/>
    <w:rsid w:val="00A24C79"/>
    <w:rsid w:val="00A83A4F"/>
    <w:rsid w:val="00B50F40"/>
    <w:rsid w:val="00D656A7"/>
    <w:rsid w:val="00D90C28"/>
    <w:rsid w:val="00E04629"/>
    <w:rsid w:val="00E55B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14B03-A4AA-4F13-B74E-B27641A5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13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250DD"/>
    <w:pPr>
      <w:tabs>
        <w:tab w:val="center" w:pos="4536"/>
        <w:tab w:val="right" w:pos="9072"/>
      </w:tabs>
      <w:spacing w:after="0" w:line="240" w:lineRule="auto"/>
    </w:pPr>
  </w:style>
  <w:style w:type="character" w:customStyle="1" w:styleId="En-tteCar">
    <w:name w:val="En-tête Car"/>
    <w:basedOn w:val="Policepardfaut"/>
    <w:link w:val="En-tte"/>
    <w:uiPriority w:val="99"/>
    <w:rsid w:val="009250DD"/>
  </w:style>
  <w:style w:type="paragraph" w:styleId="Pieddepage">
    <w:name w:val="footer"/>
    <w:basedOn w:val="Normal"/>
    <w:link w:val="PieddepageCar"/>
    <w:uiPriority w:val="99"/>
    <w:semiHidden/>
    <w:unhideWhenUsed/>
    <w:rsid w:val="009250D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250DD"/>
  </w:style>
  <w:style w:type="table" w:styleId="Grilledutableau">
    <w:name w:val="Table Grid"/>
    <w:basedOn w:val="TableauNormal"/>
    <w:uiPriority w:val="59"/>
    <w:rsid w:val="009250DD"/>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250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50DD"/>
    <w:rPr>
      <w:rFonts w:ascii="Tahoma" w:hAnsi="Tahoma" w:cs="Tahoma"/>
      <w:sz w:val="16"/>
      <w:szCs w:val="16"/>
    </w:rPr>
  </w:style>
  <w:style w:type="paragraph" w:styleId="Paragraphedeliste">
    <w:name w:val="List Paragraph"/>
    <w:basedOn w:val="Normal"/>
    <w:uiPriority w:val="34"/>
    <w:qFormat/>
    <w:rsid w:val="00016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B0DBFDA812429B82904896FFFD3D09"/>
        <w:category>
          <w:name w:val="Général"/>
          <w:gallery w:val="placeholder"/>
        </w:category>
        <w:types>
          <w:type w:val="bbPlcHdr"/>
        </w:types>
        <w:behaviors>
          <w:behavior w:val="content"/>
        </w:behaviors>
        <w:guid w:val="{EA39A5DD-683E-4D2F-8981-EC661187CA4A}"/>
      </w:docPartPr>
      <w:docPartBody>
        <w:p w:rsidR="0015154D" w:rsidRDefault="003E5D84" w:rsidP="003E5D84">
          <w:pPr>
            <w:pStyle w:val="10B0DBFDA812429B82904896FFFD3D09"/>
          </w:pPr>
          <w:r>
            <w:rPr>
              <w:rFonts w:asciiTheme="majorHAnsi" w:eastAsiaTheme="majorEastAsia" w:hAnsiTheme="majorHAnsi" w:cstheme="majorBidi"/>
              <w:sz w:val="36"/>
              <w:szCs w:val="36"/>
            </w:rPr>
            <w:t>[Titre du document]</w:t>
          </w:r>
        </w:p>
      </w:docPartBody>
    </w:docPart>
    <w:docPart>
      <w:docPartPr>
        <w:name w:val="71CC7E6B49F5476AA468992D909DBA4E"/>
        <w:category>
          <w:name w:val="Général"/>
          <w:gallery w:val="placeholder"/>
        </w:category>
        <w:types>
          <w:type w:val="bbPlcHdr"/>
        </w:types>
        <w:behaviors>
          <w:behavior w:val="content"/>
        </w:behaviors>
        <w:guid w:val="{321CE40A-DFFF-4E9D-A4E4-FDB45E590AF5}"/>
      </w:docPartPr>
      <w:docPartBody>
        <w:p w:rsidR="0015154D" w:rsidRDefault="003E5D84" w:rsidP="003E5D84">
          <w:pPr>
            <w:pStyle w:val="71CC7E6B49F5476AA468992D909DBA4E"/>
          </w:pPr>
          <w:r>
            <w:rPr>
              <w:rFonts w:asciiTheme="majorHAnsi" w:eastAsiaTheme="majorEastAsia" w:hAnsiTheme="majorHAnsi" w:cstheme="majorBidi"/>
              <w:b/>
              <w:bCs/>
              <w:color w:val="5B9BD5" w:themeColor="accent1"/>
              <w:sz w:val="36"/>
              <w:szCs w:val="36"/>
            </w:rPr>
            <w:t>[Année]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3E5D84"/>
    <w:rsid w:val="0015154D"/>
    <w:rsid w:val="003E5D84"/>
    <w:rsid w:val="00520A41"/>
    <w:rsid w:val="00A637A3"/>
    <w:rsid w:val="00BC6841"/>
    <w:rsid w:val="00D35AB2"/>
    <w:rsid w:val="00E3145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54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8FE3A18AE0E43D5AC895A241EAA7680">
    <w:name w:val="D8FE3A18AE0E43D5AC895A241EAA7680"/>
    <w:rsid w:val="003E5D84"/>
  </w:style>
  <w:style w:type="paragraph" w:customStyle="1" w:styleId="BFC6567994884DFA93A099243FB6B240">
    <w:name w:val="BFC6567994884DFA93A099243FB6B240"/>
    <w:rsid w:val="003E5D84"/>
  </w:style>
  <w:style w:type="paragraph" w:customStyle="1" w:styleId="10B0DBFDA812429B82904896FFFD3D09">
    <w:name w:val="10B0DBFDA812429B82904896FFFD3D09"/>
    <w:rsid w:val="003E5D84"/>
  </w:style>
  <w:style w:type="paragraph" w:customStyle="1" w:styleId="71CC7E6B49F5476AA468992D909DBA4E">
    <w:name w:val="71CC7E6B49F5476AA468992D909DBA4E"/>
    <w:rsid w:val="003E5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Maturation  des Protéines et Modulation de leur Fonction</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I Biologie Moléculaire et Cellulaire</dc:title>
  <dc:creator>User</dc:creator>
  <cp:lastModifiedBy>Moufida</cp:lastModifiedBy>
  <cp:revision>7</cp:revision>
  <cp:lastPrinted>2018-05-03T07:22:00Z</cp:lastPrinted>
  <dcterms:created xsi:type="dcterms:W3CDTF">2014-05-04T15:47:00Z</dcterms:created>
  <dcterms:modified xsi:type="dcterms:W3CDTF">2020-06-01T12:45:00Z</dcterms:modified>
</cp:coreProperties>
</file>