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CA" w:rsidRPr="007436ED" w:rsidRDefault="007B03CA" w:rsidP="007B03C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rPr>
      </w:pPr>
      <w:r w:rsidRPr="007436ED">
        <w:rPr>
          <w:rFonts w:ascii="Cambria" w:hAnsi="Cambria" w:cs="Calibri"/>
          <w:b/>
        </w:rPr>
        <w:t>Semestre :1</w:t>
      </w:r>
    </w:p>
    <w:p w:rsidR="007B03CA" w:rsidRPr="007436ED" w:rsidRDefault="007B03CA" w:rsidP="007B03C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7436ED">
        <w:rPr>
          <w:rFonts w:ascii="Cambria" w:hAnsi="Cambria" w:cs="Calibri"/>
          <w:b/>
          <w:bCs/>
          <w:iCs/>
        </w:rPr>
        <w:t>Unité d’enseignement :</w:t>
      </w:r>
      <w:r>
        <w:rPr>
          <w:rFonts w:ascii="Cambria" w:hAnsi="Cambria" w:cs="Calibri"/>
          <w:b/>
          <w:bCs/>
          <w:iCs/>
        </w:rPr>
        <w:t xml:space="preserve"> UEF 1.1.1</w:t>
      </w:r>
    </w:p>
    <w:p w:rsidR="007B03CA" w:rsidRPr="007436ED" w:rsidRDefault="007B03CA" w:rsidP="007B03C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color w:val="FF0000"/>
        </w:rPr>
      </w:pPr>
      <w:r w:rsidRPr="007436ED">
        <w:rPr>
          <w:rFonts w:ascii="Cambria" w:hAnsi="Cambria" w:cs="Calibri"/>
          <w:b/>
          <w:bCs/>
          <w:iCs/>
        </w:rPr>
        <w:t xml:space="preserve">Matière : </w:t>
      </w:r>
      <w:r w:rsidRPr="00845315">
        <w:rPr>
          <w:rFonts w:ascii="Cambria" w:hAnsi="Cambria" w:cs="Calibri"/>
          <w:b/>
          <w:bCs/>
          <w:iCs/>
        </w:rPr>
        <w:t>Mécanique des milieux continus</w:t>
      </w:r>
    </w:p>
    <w:p w:rsidR="007B03CA" w:rsidRPr="007436ED" w:rsidRDefault="007B03CA" w:rsidP="007B03C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7436ED">
        <w:rPr>
          <w:rFonts w:ascii="Cambria" w:eastAsia="Calibri" w:hAnsi="Cambria" w:cs="Arial"/>
          <w:b/>
          <w:bCs/>
          <w:color w:val="000000"/>
          <w:lang w:eastAsia="en-US"/>
        </w:rPr>
        <w:t xml:space="preserve">VHS: </w:t>
      </w:r>
      <w:r>
        <w:rPr>
          <w:rFonts w:ascii="Cambria" w:eastAsia="Calibri" w:hAnsi="Cambria" w:cs="Arial"/>
          <w:b/>
          <w:bCs/>
          <w:color w:val="000000"/>
          <w:lang w:eastAsia="en-US"/>
        </w:rPr>
        <w:t>67</w:t>
      </w:r>
      <w:r w:rsidRPr="007436ED">
        <w:rPr>
          <w:rFonts w:ascii="Cambria" w:eastAsia="Calibri" w:hAnsi="Cambria" w:cs="Arial"/>
          <w:b/>
          <w:bCs/>
          <w:color w:val="000000"/>
          <w:lang w:eastAsia="en-US"/>
        </w:rPr>
        <w:t xml:space="preserve"> h</w:t>
      </w:r>
      <w:r>
        <w:rPr>
          <w:rFonts w:ascii="Cambria" w:eastAsia="Calibri" w:hAnsi="Cambria" w:cs="Arial"/>
          <w:b/>
          <w:bCs/>
          <w:color w:val="000000"/>
          <w:lang w:eastAsia="en-US"/>
        </w:rPr>
        <w:t>3</w:t>
      </w:r>
      <w:r w:rsidRPr="007436ED">
        <w:rPr>
          <w:rFonts w:ascii="Cambria" w:eastAsia="Calibri" w:hAnsi="Cambria" w:cs="Arial"/>
          <w:b/>
          <w:bCs/>
          <w:color w:val="000000"/>
          <w:lang w:eastAsia="en-US"/>
        </w:rPr>
        <w:t xml:space="preserve">0  (Cours: </w:t>
      </w:r>
      <w:r>
        <w:rPr>
          <w:rFonts w:ascii="Cambria" w:eastAsia="Calibri" w:hAnsi="Cambria" w:cs="Arial"/>
          <w:b/>
          <w:bCs/>
          <w:color w:val="000000"/>
          <w:lang w:eastAsia="en-US"/>
        </w:rPr>
        <w:t>3</w:t>
      </w:r>
      <w:r w:rsidRPr="007436ED">
        <w:rPr>
          <w:rFonts w:ascii="Cambria" w:eastAsia="Calibri" w:hAnsi="Cambria" w:cs="Arial"/>
          <w:b/>
          <w:bCs/>
          <w:color w:val="000000"/>
          <w:lang w:eastAsia="en-US"/>
        </w:rPr>
        <w:t>h</w:t>
      </w:r>
      <w:r>
        <w:rPr>
          <w:rFonts w:ascii="Cambria" w:eastAsia="Calibri" w:hAnsi="Cambria" w:cs="Arial"/>
          <w:b/>
          <w:bCs/>
          <w:color w:val="000000"/>
          <w:lang w:eastAsia="en-US"/>
        </w:rPr>
        <w:t>0</w:t>
      </w:r>
      <w:r w:rsidRPr="007436ED">
        <w:rPr>
          <w:rFonts w:ascii="Cambria" w:eastAsia="Calibri" w:hAnsi="Cambria" w:cs="Arial"/>
          <w:b/>
          <w:bCs/>
          <w:color w:val="000000"/>
          <w:lang w:eastAsia="en-US"/>
        </w:rPr>
        <w:t>0, TD: 1h30)</w:t>
      </w:r>
    </w:p>
    <w:p w:rsidR="007B03CA" w:rsidRPr="007436ED" w:rsidRDefault="007B03CA" w:rsidP="007B03C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7436ED">
        <w:rPr>
          <w:rFonts w:ascii="Cambria" w:hAnsi="Cambria" w:cs="Calibri"/>
          <w:b/>
          <w:bCs/>
          <w:iCs/>
        </w:rPr>
        <w:t>Crédits :</w:t>
      </w:r>
      <w:r>
        <w:rPr>
          <w:rFonts w:ascii="Cambria" w:hAnsi="Cambria" w:cs="Calibri"/>
          <w:b/>
          <w:bCs/>
          <w:iCs/>
        </w:rPr>
        <w:t xml:space="preserve"> 6</w:t>
      </w:r>
    </w:p>
    <w:p w:rsidR="007B03CA" w:rsidRPr="007436ED" w:rsidRDefault="007B03CA" w:rsidP="007B03CA">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Cambria" w:hAnsi="Cambria" w:cs="Calibri"/>
          <w:b/>
          <w:bCs/>
          <w:iCs/>
        </w:rPr>
      </w:pPr>
      <w:r w:rsidRPr="007436ED">
        <w:rPr>
          <w:rFonts w:ascii="Cambria" w:hAnsi="Cambria" w:cs="Calibri"/>
          <w:b/>
          <w:bCs/>
          <w:iCs/>
        </w:rPr>
        <w:t>Coefficient :</w:t>
      </w:r>
      <w:r>
        <w:rPr>
          <w:rFonts w:ascii="Cambria" w:hAnsi="Cambria" w:cs="Calibri"/>
          <w:b/>
          <w:bCs/>
          <w:iCs/>
        </w:rPr>
        <w:t xml:space="preserve"> 3</w:t>
      </w:r>
    </w:p>
    <w:p w:rsidR="007B03CA" w:rsidRPr="007436ED" w:rsidRDefault="007B03CA" w:rsidP="007B03CA">
      <w:pPr>
        <w:spacing w:line="276" w:lineRule="auto"/>
        <w:jc w:val="both"/>
        <w:rPr>
          <w:rFonts w:ascii="Cambria" w:hAnsi="Cambria" w:cs="Calibri"/>
          <w:b/>
        </w:rPr>
      </w:pPr>
    </w:p>
    <w:p w:rsidR="007B03CA" w:rsidRPr="00374D98" w:rsidRDefault="007B03CA" w:rsidP="007B03CA">
      <w:pPr>
        <w:jc w:val="both"/>
        <w:rPr>
          <w:i/>
          <w:u w:val="thick" w:color="F79646"/>
        </w:rPr>
      </w:pPr>
      <w:r w:rsidRPr="00374D98">
        <w:rPr>
          <w:b/>
          <w:u w:val="thick" w:color="F79646"/>
        </w:rPr>
        <w:t>Objectifs de l’enseignement:</w:t>
      </w:r>
    </w:p>
    <w:p w:rsidR="007B03CA" w:rsidRDefault="007B03CA" w:rsidP="007B03CA">
      <w:pPr>
        <w:jc w:val="both"/>
      </w:pPr>
      <w:r w:rsidRPr="00374D98">
        <w:t xml:space="preserve">      L’objectif de la mécanique des milieux continus est d’analyser le mouvement d’un corps ou d’un objet matériel. La continuité du domaine est définie mathématiquement par des fonctions continues caractérisant le domaine. Nous nous intéressons aux domaines matériels subissant des transformations continues. Une attention particulière est accordée aux domaines ayant des comportements de corps solide. Les transformations continues du domaine engendrent des tenseurs de déformations et de contraintes, lesquelles sont</w:t>
      </w:r>
      <w:r w:rsidRPr="00374D98">
        <w:rPr>
          <w:rStyle w:val="st1"/>
        </w:rPr>
        <w:t xml:space="preserve"> reliées</w:t>
      </w:r>
      <w:r w:rsidRPr="00374D98">
        <w:t xml:space="preserve"> par des lois de comportement. </w:t>
      </w:r>
      <w:r w:rsidRPr="00374D98">
        <w:rPr>
          <w:rStyle w:val="st1"/>
        </w:rPr>
        <w:t xml:space="preserve">L'ambition de ce </w:t>
      </w:r>
      <w:proofErr w:type="spellStart"/>
      <w:r w:rsidRPr="00374D98">
        <w:rPr>
          <w:rStyle w:val="Accentuation"/>
          <w:b/>
          <w:bCs/>
        </w:rPr>
        <w:t>coursest</w:t>
      </w:r>
      <w:r w:rsidRPr="00374D98">
        <w:rPr>
          <w:rStyle w:val="st1"/>
        </w:rPr>
        <w:t>d'apprendre</w:t>
      </w:r>
      <w:proofErr w:type="spellEnd"/>
      <w:r w:rsidRPr="00374D98">
        <w:rPr>
          <w:rStyle w:val="st1"/>
        </w:rPr>
        <w:t xml:space="preserve">, aux </w:t>
      </w:r>
      <w:proofErr w:type="spellStart"/>
      <w:r w:rsidRPr="00374D98">
        <w:rPr>
          <w:rStyle w:val="Accentuation"/>
          <w:b/>
          <w:bCs/>
        </w:rPr>
        <w:t>étudiants,</w:t>
      </w:r>
      <w:r w:rsidRPr="00374D98">
        <w:t>les</w:t>
      </w:r>
      <w:proofErr w:type="spellEnd"/>
      <w:r w:rsidRPr="00374D98">
        <w:t xml:space="preserve"> fondements théoriques </w:t>
      </w:r>
      <w:r w:rsidRPr="00374D98">
        <w:rPr>
          <w:rStyle w:val="st1"/>
        </w:rPr>
        <w:t xml:space="preserve">et préceptes </w:t>
      </w:r>
      <w:proofErr w:type="spellStart"/>
      <w:r w:rsidRPr="00374D98">
        <w:rPr>
          <w:rStyle w:val="Accentuation"/>
          <w:b/>
          <w:bCs/>
        </w:rPr>
        <w:t>méthodologiques,</w:t>
      </w:r>
      <w:r w:rsidRPr="00374D98">
        <w:t>permettant</w:t>
      </w:r>
      <w:proofErr w:type="spellEnd"/>
      <w:r w:rsidRPr="00374D98">
        <w:t xml:space="preserve"> de résoudre analytiquement certains problèmes d'élasticité linéaire. Pour simplifier le cours il est recommandé d'utiliser la notation indicielle.</w:t>
      </w:r>
    </w:p>
    <w:p w:rsidR="007B03CA" w:rsidRPr="000464A7" w:rsidRDefault="007B03CA" w:rsidP="007B03CA">
      <w:pPr>
        <w:jc w:val="both"/>
        <w:rPr>
          <w:rFonts w:ascii="Cambria" w:hAnsi="Cambria" w:cs="Calibri"/>
          <w:b/>
          <w:u w:val="thick" w:color="F79646"/>
        </w:rPr>
      </w:pPr>
      <w:r w:rsidRPr="000464A7">
        <w:rPr>
          <w:rFonts w:ascii="Cambria" w:hAnsi="Cambria" w:cs="Calibri"/>
          <w:b/>
          <w:u w:val="thick" w:color="F79646"/>
        </w:rPr>
        <w:t>Connaissances préalables recommandées :</w:t>
      </w:r>
    </w:p>
    <w:p w:rsidR="007B03CA" w:rsidRPr="00B816CC" w:rsidRDefault="007B03CA" w:rsidP="007B03CA">
      <w:pPr>
        <w:autoSpaceDE w:val="0"/>
        <w:autoSpaceDN w:val="0"/>
        <w:adjustRightInd w:val="0"/>
        <w:jc w:val="both"/>
        <w:rPr>
          <w:color w:val="000000"/>
        </w:rPr>
      </w:pPr>
      <w:r w:rsidRPr="00B816CC">
        <w:rPr>
          <w:bCs/>
        </w:rPr>
        <w:t xml:space="preserve">Mécanique rationnelle, Sciences des matériaux, TP Résistance des matériaux, </w:t>
      </w:r>
      <w:r w:rsidRPr="00B816CC">
        <w:rPr>
          <w:color w:val="000000"/>
        </w:rPr>
        <w:t>Algèbre linéaire , C</w:t>
      </w:r>
      <w:r>
        <w:rPr>
          <w:color w:val="000000"/>
        </w:rPr>
        <w:t>alcul matriciel, E</w:t>
      </w:r>
      <w:r w:rsidRPr="00B816CC">
        <w:rPr>
          <w:color w:val="000000"/>
        </w:rPr>
        <w:t>quations différentielles</w:t>
      </w:r>
      <w:r>
        <w:rPr>
          <w:color w:val="000000"/>
        </w:rPr>
        <w:t xml:space="preserve">, </w:t>
      </w:r>
      <w:r>
        <w:rPr>
          <w:bCs/>
        </w:rPr>
        <w:t>Elasticité et</w:t>
      </w:r>
      <w:r w:rsidRPr="00B816CC">
        <w:rPr>
          <w:bCs/>
        </w:rPr>
        <w:t xml:space="preserve"> Résistance des matériaux</w:t>
      </w:r>
      <w:r>
        <w:rPr>
          <w:bCs/>
        </w:rPr>
        <w:t xml:space="preserve">, </w:t>
      </w:r>
    </w:p>
    <w:p w:rsidR="007B03CA" w:rsidRDefault="007B03CA" w:rsidP="007B03CA">
      <w:pPr>
        <w:pStyle w:val="Default"/>
        <w:jc w:val="both"/>
        <w:rPr>
          <w:bCs/>
        </w:rPr>
      </w:pPr>
    </w:p>
    <w:p w:rsidR="007B03CA" w:rsidRPr="00374D98" w:rsidRDefault="007B03CA" w:rsidP="007B03CA">
      <w:pPr>
        <w:jc w:val="both"/>
      </w:pPr>
    </w:p>
    <w:p w:rsidR="007B03CA" w:rsidRPr="00374D98" w:rsidRDefault="007B03CA" w:rsidP="007B03CA">
      <w:pPr>
        <w:rPr>
          <w:b/>
          <w:u w:val="thick" w:color="F79646"/>
        </w:rPr>
      </w:pPr>
      <w:r w:rsidRPr="00374D98">
        <w:rPr>
          <w:b/>
          <w:u w:val="thick" w:color="F79646"/>
        </w:rPr>
        <w:t>Contenu de la matière:</w:t>
      </w:r>
    </w:p>
    <w:p w:rsidR="007B03CA" w:rsidRPr="00C2540F" w:rsidRDefault="007B03CA" w:rsidP="007B03CA">
      <w:pPr>
        <w:jc w:val="both"/>
      </w:pPr>
      <w:r w:rsidRPr="00C2540F">
        <w:rPr>
          <w:b/>
        </w:rPr>
        <w:t>Chapitre I</w:t>
      </w:r>
      <w:r w:rsidRPr="00C2540F">
        <w:t xml:space="preserve"> : Introduction à la mécanique des milieux continus </w:t>
      </w:r>
      <w:r w:rsidRPr="00C2540F">
        <w:tab/>
      </w:r>
      <w:r w:rsidRPr="00C2540F">
        <w:tab/>
      </w:r>
      <w:r w:rsidRPr="00C2540F">
        <w:tab/>
      </w:r>
      <w:r w:rsidRPr="00C2540F">
        <w:rPr>
          <w:b/>
          <w:bCs/>
        </w:rPr>
        <w:t>(1 semaine)</w:t>
      </w:r>
    </w:p>
    <w:p w:rsidR="007B03CA" w:rsidRPr="00C2540F" w:rsidRDefault="007B03CA" w:rsidP="007B03CA">
      <w:pPr>
        <w:autoSpaceDE w:val="0"/>
        <w:autoSpaceDN w:val="0"/>
        <w:adjustRightInd w:val="0"/>
        <w:rPr>
          <w:b/>
          <w:bCs/>
        </w:rPr>
      </w:pPr>
      <w:r w:rsidRPr="00C2540F">
        <w:rPr>
          <w:b/>
        </w:rPr>
        <w:t>Chapitre II</w:t>
      </w:r>
      <w:r w:rsidRPr="00C2540F">
        <w:t xml:space="preserve"> : Calcul tensoriel  et notation indicielle                                               </w:t>
      </w:r>
      <w:r w:rsidRPr="00C2540F">
        <w:rPr>
          <w:b/>
          <w:bCs/>
        </w:rPr>
        <w:t>(2 semaines)</w:t>
      </w:r>
    </w:p>
    <w:p w:rsidR="007B03CA" w:rsidRPr="00C2540F" w:rsidRDefault="007B03CA" w:rsidP="007B03CA">
      <w:pPr>
        <w:autoSpaceDE w:val="0"/>
        <w:autoSpaceDN w:val="0"/>
        <w:adjustRightInd w:val="0"/>
        <w:ind w:left="1276"/>
        <w:jc w:val="both"/>
        <w:rPr>
          <w:bCs/>
        </w:rPr>
      </w:pPr>
      <w:r w:rsidRPr="00C2540F">
        <w:rPr>
          <w:bCs/>
        </w:rPr>
        <w:t>II-1 Tenseurs</w:t>
      </w:r>
    </w:p>
    <w:p w:rsidR="007B03CA" w:rsidRPr="00C2540F" w:rsidRDefault="007B03CA" w:rsidP="007B03CA">
      <w:pPr>
        <w:autoSpaceDE w:val="0"/>
        <w:autoSpaceDN w:val="0"/>
        <w:adjustRightInd w:val="0"/>
        <w:ind w:left="1276"/>
        <w:jc w:val="both"/>
        <w:rPr>
          <w:bCs/>
        </w:rPr>
      </w:pPr>
      <w:r w:rsidRPr="00C2540F">
        <w:rPr>
          <w:bCs/>
        </w:rPr>
        <w:t>II-2 Notation indicielle : convention de somme, indice libre, indice muet,  symbole de Kronecker, symbole de permutation.</w:t>
      </w:r>
    </w:p>
    <w:p w:rsidR="007B03CA" w:rsidRPr="00C2540F" w:rsidRDefault="007B03CA" w:rsidP="007B03CA">
      <w:pPr>
        <w:autoSpaceDE w:val="0"/>
        <w:autoSpaceDN w:val="0"/>
        <w:adjustRightInd w:val="0"/>
        <w:ind w:left="1276"/>
        <w:jc w:val="both"/>
        <w:rPr>
          <w:bCs/>
        </w:rPr>
      </w:pPr>
      <w:r w:rsidRPr="00C2540F">
        <w:rPr>
          <w:bCs/>
        </w:rPr>
        <w:t xml:space="preserve">II-3 Champ tensoriel et différentiation d'un champ tensoriel: différentiation d'un vecteur, gradient d'un scalaire, divergence et rotationnel d'un vecteur, </w:t>
      </w:r>
      <w:proofErr w:type="spellStart"/>
      <w:r w:rsidRPr="00C2540F">
        <w:rPr>
          <w:bCs/>
        </w:rPr>
        <w:t>Laplacien</w:t>
      </w:r>
      <w:proofErr w:type="spellEnd"/>
      <w:r w:rsidRPr="00C2540F">
        <w:rPr>
          <w:bCs/>
        </w:rPr>
        <w:t xml:space="preserve"> d'un scalaire,  gradient d'un vecteur et divergence d'une matrice.</w:t>
      </w:r>
    </w:p>
    <w:p w:rsidR="007B03CA" w:rsidRPr="00C2540F" w:rsidRDefault="007B03CA" w:rsidP="007B03CA">
      <w:pPr>
        <w:autoSpaceDE w:val="0"/>
        <w:autoSpaceDN w:val="0"/>
        <w:adjustRightInd w:val="0"/>
        <w:ind w:left="1276"/>
        <w:jc w:val="both"/>
        <w:rPr>
          <w:bCs/>
        </w:rPr>
      </w:pPr>
      <w:r w:rsidRPr="00C2540F">
        <w:rPr>
          <w:bCs/>
        </w:rPr>
        <w:t xml:space="preserve">II-4 Théorèmes intégrales de Gauss et de Stokes </w:t>
      </w:r>
    </w:p>
    <w:p w:rsidR="007B03CA" w:rsidRPr="00C2540F" w:rsidRDefault="007B03CA" w:rsidP="007B03CA">
      <w:pPr>
        <w:jc w:val="both"/>
        <w:rPr>
          <w:bCs/>
        </w:rPr>
      </w:pPr>
    </w:p>
    <w:p w:rsidR="007B03CA" w:rsidRPr="00C2540F" w:rsidRDefault="007B03CA" w:rsidP="007B03CA">
      <w:pPr>
        <w:jc w:val="both"/>
        <w:rPr>
          <w:b/>
        </w:rPr>
      </w:pPr>
      <w:r w:rsidRPr="00C2540F">
        <w:rPr>
          <w:b/>
        </w:rPr>
        <w:t>Chapitre III</w:t>
      </w:r>
      <w:r w:rsidRPr="00C2540F">
        <w:rPr>
          <w:bCs/>
        </w:rPr>
        <w:t xml:space="preserve">: </w:t>
      </w:r>
      <w:r w:rsidRPr="00C2540F">
        <w:t xml:space="preserve">Tenseur de déformations       </w:t>
      </w:r>
      <w:r w:rsidRPr="00C2540F">
        <w:rPr>
          <w:b/>
          <w:bCs/>
        </w:rPr>
        <w:tab/>
        <w:t xml:space="preserve">   (</w:t>
      </w:r>
      <w:r>
        <w:rPr>
          <w:b/>
          <w:bCs/>
        </w:rPr>
        <w:t xml:space="preserve">2 </w:t>
      </w:r>
      <w:r w:rsidRPr="00C2540F">
        <w:rPr>
          <w:b/>
          <w:bCs/>
        </w:rPr>
        <w:t>semaines)</w:t>
      </w:r>
    </w:p>
    <w:p w:rsidR="007B03CA" w:rsidRPr="00C2540F" w:rsidRDefault="007B03CA" w:rsidP="007B03CA">
      <w:pPr>
        <w:autoSpaceDE w:val="0"/>
        <w:autoSpaceDN w:val="0"/>
        <w:adjustRightInd w:val="0"/>
        <w:ind w:left="1418"/>
        <w:jc w:val="both"/>
        <w:rPr>
          <w:bCs/>
        </w:rPr>
      </w:pPr>
      <w:r w:rsidRPr="00C2540F">
        <w:rPr>
          <w:bCs/>
        </w:rPr>
        <w:t xml:space="preserve">III-1 </w:t>
      </w:r>
      <w:r w:rsidRPr="00C2540F">
        <w:rPr>
          <w:bCs/>
          <w:lang w:eastAsia="fr-FR"/>
        </w:rPr>
        <w:t>Le mouvement et ses représentations</w:t>
      </w:r>
    </w:p>
    <w:p w:rsidR="007B03CA" w:rsidRPr="00C2540F" w:rsidRDefault="007B03CA" w:rsidP="007B03CA">
      <w:pPr>
        <w:autoSpaceDE w:val="0"/>
        <w:autoSpaceDN w:val="0"/>
        <w:adjustRightInd w:val="0"/>
        <w:ind w:left="1418"/>
        <w:jc w:val="both"/>
        <w:rPr>
          <w:bCs/>
          <w:lang w:eastAsia="fr-FR"/>
        </w:rPr>
      </w:pPr>
      <w:r w:rsidRPr="00C2540F">
        <w:rPr>
          <w:bCs/>
        </w:rPr>
        <w:t xml:space="preserve">III-2  </w:t>
      </w:r>
      <w:r w:rsidRPr="00C2540F">
        <w:rPr>
          <w:bCs/>
          <w:lang w:eastAsia="fr-FR"/>
        </w:rPr>
        <w:t xml:space="preserve">Déformation d’un milieux continu: notion de déformation, </w:t>
      </w:r>
      <w:r w:rsidRPr="00C2540F">
        <w:rPr>
          <w:rStyle w:val="mw-headline"/>
        </w:rPr>
        <w:t>Définition de l'opérateur des déformations</w:t>
      </w:r>
      <w:r w:rsidRPr="00C2540F">
        <w:rPr>
          <w:bCs/>
          <w:lang w:eastAsia="fr-FR"/>
        </w:rPr>
        <w:t>, tenseur de déformations.</w:t>
      </w:r>
    </w:p>
    <w:p w:rsidR="007B03CA" w:rsidRPr="00C2540F" w:rsidRDefault="007B03CA" w:rsidP="007B03CA">
      <w:pPr>
        <w:autoSpaceDE w:val="0"/>
        <w:autoSpaceDN w:val="0"/>
        <w:adjustRightInd w:val="0"/>
        <w:ind w:left="1418"/>
        <w:jc w:val="both"/>
        <w:rPr>
          <w:bCs/>
          <w:lang w:eastAsia="fr-FR"/>
        </w:rPr>
      </w:pPr>
      <w:r w:rsidRPr="00C2540F">
        <w:rPr>
          <w:bCs/>
        </w:rPr>
        <w:t xml:space="preserve">III- 3  </w:t>
      </w:r>
      <w:r w:rsidRPr="00C2540F">
        <w:rPr>
          <w:bCs/>
          <w:lang w:eastAsia="fr-FR"/>
        </w:rPr>
        <w:t>Invariants du tenseur de déformations</w:t>
      </w:r>
    </w:p>
    <w:p w:rsidR="007B03CA" w:rsidRPr="00C2540F" w:rsidRDefault="007B03CA" w:rsidP="007B03CA">
      <w:pPr>
        <w:autoSpaceDE w:val="0"/>
        <w:autoSpaceDN w:val="0"/>
        <w:adjustRightInd w:val="0"/>
        <w:ind w:left="1418"/>
        <w:jc w:val="both"/>
        <w:rPr>
          <w:bCs/>
        </w:rPr>
      </w:pPr>
      <w:r w:rsidRPr="00C2540F">
        <w:rPr>
          <w:bCs/>
        </w:rPr>
        <w:t>III-4   Equations de compatibilité</w:t>
      </w:r>
    </w:p>
    <w:p w:rsidR="007B03CA" w:rsidRPr="00C2540F" w:rsidRDefault="007B03CA" w:rsidP="007B03CA">
      <w:pPr>
        <w:autoSpaceDE w:val="0"/>
        <w:autoSpaceDN w:val="0"/>
        <w:adjustRightInd w:val="0"/>
        <w:ind w:left="1418"/>
        <w:jc w:val="both"/>
        <w:rPr>
          <w:bCs/>
        </w:rPr>
      </w:pPr>
    </w:p>
    <w:p w:rsidR="007B03CA" w:rsidRPr="00C2540F" w:rsidRDefault="007B03CA" w:rsidP="007B03CA">
      <w:pPr>
        <w:autoSpaceDE w:val="0"/>
        <w:autoSpaceDN w:val="0"/>
        <w:adjustRightInd w:val="0"/>
      </w:pPr>
      <w:r w:rsidRPr="00C2540F">
        <w:rPr>
          <w:b/>
        </w:rPr>
        <w:t xml:space="preserve">Chapitre </w:t>
      </w:r>
      <w:r>
        <w:rPr>
          <w:b/>
        </w:rPr>
        <w:t>IV</w:t>
      </w:r>
      <w:r w:rsidRPr="00C2540F">
        <w:t xml:space="preserve">: Tenseur de contraintes                                                                     </w:t>
      </w:r>
      <w:r w:rsidRPr="00C2540F">
        <w:rPr>
          <w:b/>
          <w:bCs/>
        </w:rPr>
        <w:t>(3 semaines)</w:t>
      </w:r>
    </w:p>
    <w:p w:rsidR="007B03CA" w:rsidRPr="00C2540F" w:rsidRDefault="007B03CA" w:rsidP="007B03CA">
      <w:pPr>
        <w:autoSpaceDE w:val="0"/>
        <w:autoSpaceDN w:val="0"/>
        <w:adjustRightInd w:val="0"/>
        <w:ind w:left="1560"/>
      </w:pPr>
      <w:r>
        <w:rPr>
          <w:lang w:eastAsia="fr-FR"/>
        </w:rPr>
        <w:t>IV</w:t>
      </w:r>
      <w:r w:rsidRPr="00C2540F">
        <w:rPr>
          <w:lang w:eastAsia="fr-FR"/>
        </w:rPr>
        <w:t>-1 Tenseur de contraintes et des invariants</w:t>
      </w:r>
      <w:r w:rsidRPr="00C2540F">
        <w:tab/>
      </w:r>
    </w:p>
    <w:p w:rsidR="007B03CA" w:rsidRPr="00C2540F" w:rsidRDefault="007B03CA" w:rsidP="007B03CA">
      <w:pPr>
        <w:autoSpaceDE w:val="0"/>
        <w:autoSpaceDN w:val="0"/>
        <w:adjustRightInd w:val="0"/>
        <w:ind w:left="1560"/>
        <w:rPr>
          <w:lang w:eastAsia="fr-FR"/>
        </w:rPr>
      </w:pPr>
      <w:r>
        <w:rPr>
          <w:lang w:eastAsia="fr-FR"/>
        </w:rPr>
        <w:t>IV</w:t>
      </w:r>
      <w:r w:rsidRPr="00C2540F">
        <w:rPr>
          <w:lang w:eastAsia="fr-FR"/>
        </w:rPr>
        <w:t xml:space="preserve">-2 Equation d'équilibre et symétrie du tenseur de contraintes </w:t>
      </w:r>
    </w:p>
    <w:p w:rsidR="007B03CA" w:rsidRPr="00C2540F" w:rsidRDefault="007B03CA" w:rsidP="007B03CA">
      <w:pPr>
        <w:autoSpaceDE w:val="0"/>
        <w:autoSpaceDN w:val="0"/>
        <w:adjustRightInd w:val="0"/>
        <w:ind w:left="1560"/>
        <w:rPr>
          <w:lang w:eastAsia="fr-FR"/>
        </w:rPr>
      </w:pPr>
      <w:r>
        <w:rPr>
          <w:lang w:eastAsia="fr-FR"/>
        </w:rPr>
        <w:t>IV</w:t>
      </w:r>
      <w:r w:rsidRPr="00C2540F">
        <w:rPr>
          <w:lang w:eastAsia="fr-FR"/>
        </w:rPr>
        <w:t xml:space="preserve">-3 Contrainte normale et contrainte tangentielle </w:t>
      </w:r>
    </w:p>
    <w:p w:rsidR="007B03CA" w:rsidRPr="00C2540F" w:rsidRDefault="007B03CA" w:rsidP="007B03CA">
      <w:pPr>
        <w:autoSpaceDE w:val="0"/>
        <w:autoSpaceDN w:val="0"/>
        <w:adjustRightInd w:val="0"/>
        <w:ind w:left="1560"/>
        <w:rPr>
          <w:lang w:eastAsia="fr-FR"/>
        </w:rPr>
      </w:pPr>
      <w:r>
        <w:rPr>
          <w:lang w:eastAsia="fr-FR"/>
        </w:rPr>
        <w:t>IV</w:t>
      </w:r>
      <w:r w:rsidRPr="00C2540F">
        <w:rPr>
          <w:lang w:eastAsia="fr-FR"/>
        </w:rPr>
        <w:t xml:space="preserve">-4 Directions principales et  contraintes principales </w:t>
      </w:r>
    </w:p>
    <w:p w:rsidR="007B03CA" w:rsidRPr="00C2540F" w:rsidRDefault="007B03CA" w:rsidP="007B03CA">
      <w:pPr>
        <w:ind w:left="1560"/>
        <w:jc w:val="both"/>
        <w:rPr>
          <w:lang w:eastAsia="fr-FR"/>
        </w:rPr>
      </w:pPr>
      <w:r>
        <w:rPr>
          <w:lang w:eastAsia="fr-FR"/>
        </w:rPr>
        <w:t>IV</w:t>
      </w:r>
      <w:r w:rsidRPr="00C2540F">
        <w:rPr>
          <w:lang w:eastAsia="fr-FR"/>
        </w:rPr>
        <w:t xml:space="preserve">-5 </w:t>
      </w:r>
      <w:proofErr w:type="spellStart"/>
      <w:r w:rsidRPr="00C2540F">
        <w:rPr>
          <w:lang w:eastAsia="fr-FR"/>
        </w:rPr>
        <w:t>Tricercles</w:t>
      </w:r>
      <w:proofErr w:type="spellEnd"/>
      <w:r w:rsidRPr="00C2540F">
        <w:rPr>
          <w:lang w:eastAsia="fr-FR"/>
        </w:rPr>
        <w:t xml:space="preserve"> de </w:t>
      </w:r>
      <w:proofErr w:type="spellStart"/>
      <w:r w:rsidRPr="00C2540F">
        <w:rPr>
          <w:lang w:eastAsia="fr-FR"/>
        </w:rPr>
        <w:t>Mohr</w:t>
      </w:r>
      <w:proofErr w:type="spellEnd"/>
      <w:r w:rsidRPr="00C2540F">
        <w:rPr>
          <w:lang w:eastAsia="fr-FR"/>
        </w:rPr>
        <w:t xml:space="preserve"> </w:t>
      </w:r>
    </w:p>
    <w:p w:rsidR="007B03CA" w:rsidRPr="00C2540F" w:rsidRDefault="007B03CA" w:rsidP="007B03CA">
      <w:pPr>
        <w:ind w:left="1560"/>
        <w:jc w:val="both"/>
        <w:rPr>
          <w:lang w:eastAsia="fr-FR"/>
        </w:rPr>
      </w:pPr>
      <w:r>
        <w:rPr>
          <w:lang w:eastAsia="fr-FR"/>
        </w:rPr>
        <w:t>IV</w:t>
      </w:r>
      <w:r w:rsidRPr="00C2540F">
        <w:rPr>
          <w:lang w:eastAsia="fr-FR"/>
        </w:rPr>
        <w:t>-6  Cas particuliers du tenseur de contraintes</w:t>
      </w:r>
    </w:p>
    <w:p w:rsidR="007B03CA" w:rsidRPr="00C2540F" w:rsidRDefault="007B03CA" w:rsidP="007B03CA">
      <w:pPr>
        <w:autoSpaceDE w:val="0"/>
        <w:autoSpaceDN w:val="0"/>
        <w:adjustRightInd w:val="0"/>
        <w:rPr>
          <w:lang w:eastAsia="fr-FR"/>
        </w:rPr>
      </w:pPr>
    </w:p>
    <w:p w:rsidR="007B03CA" w:rsidRPr="00C2540F" w:rsidRDefault="007B03CA" w:rsidP="007B03CA">
      <w:pPr>
        <w:autoSpaceDE w:val="0"/>
        <w:autoSpaceDN w:val="0"/>
        <w:adjustRightInd w:val="0"/>
      </w:pPr>
      <w:r w:rsidRPr="00C2540F">
        <w:rPr>
          <w:b/>
        </w:rPr>
        <w:t xml:space="preserve">Chapitre V : </w:t>
      </w:r>
      <w:r w:rsidRPr="00C2540F">
        <w:t xml:space="preserve">Lois de comportement en </w:t>
      </w:r>
      <w:r w:rsidRPr="00C2540F">
        <w:rPr>
          <w:lang w:eastAsia="fr-FR"/>
        </w:rPr>
        <w:t>élastique linéaire</w:t>
      </w:r>
      <w:r w:rsidRPr="00C2540F">
        <w:tab/>
      </w:r>
      <w:r w:rsidRPr="00C2540F">
        <w:tab/>
      </w:r>
      <w:r w:rsidRPr="00C2540F">
        <w:tab/>
      </w:r>
      <w:r w:rsidRPr="00C2540F">
        <w:rPr>
          <w:b/>
          <w:bCs/>
        </w:rPr>
        <w:t>(2 semaines)</w:t>
      </w:r>
    </w:p>
    <w:p w:rsidR="007B03CA" w:rsidRPr="00C2540F" w:rsidRDefault="007B03CA" w:rsidP="007B03CA">
      <w:pPr>
        <w:autoSpaceDE w:val="0"/>
        <w:autoSpaceDN w:val="0"/>
        <w:adjustRightInd w:val="0"/>
        <w:ind w:left="1418"/>
        <w:rPr>
          <w:lang w:eastAsia="fr-FR"/>
        </w:rPr>
      </w:pPr>
      <w:r>
        <w:rPr>
          <w:lang w:eastAsia="fr-FR"/>
        </w:rPr>
        <w:t>V-</w:t>
      </w:r>
      <w:r w:rsidRPr="00C2540F">
        <w:rPr>
          <w:lang w:eastAsia="fr-FR"/>
        </w:rPr>
        <w:t>1 Forme générale de la loi de comportement d'un matériau élastique homogène isotrope</w:t>
      </w:r>
    </w:p>
    <w:p w:rsidR="007B03CA" w:rsidRPr="00C2540F" w:rsidRDefault="007B03CA" w:rsidP="007B03CA">
      <w:pPr>
        <w:ind w:left="1418"/>
        <w:jc w:val="both"/>
        <w:rPr>
          <w:b/>
        </w:rPr>
      </w:pPr>
      <w:r>
        <w:rPr>
          <w:lang w:eastAsia="fr-FR"/>
        </w:rPr>
        <w:lastRenderedPageBreak/>
        <w:t>V-</w:t>
      </w:r>
      <w:r w:rsidRPr="00C2540F">
        <w:rPr>
          <w:lang w:eastAsia="fr-FR"/>
        </w:rPr>
        <w:t>2 Caractéristiques mécaniques de quelques matériaux isotrope</w:t>
      </w:r>
      <w:r w:rsidRPr="00C2540F">
        <w:tab/>
      </w:r>
    </w:p>
    <w:p w:rsidR="007B03CA" w:rsidRPr="00C2540F" w:rsidRDefault="007B03CA" w:rsidP="007B03CA">
      <w:r w:rsidRPr="00C2540F">
        <w:rPr>
          <w:b/>
        </w:rPr>
        <w:t>Chapitre VI </w:t>
      </w:r>
      <w:r w:rsidRPr="00C2540F">
        <w:t xml:space="preserve"> - Energie de déformation et critères de résistance</w:t>
      </w:r>
      <w:r w:rsidRPr="00C2540F">
        <w:rPr>
          <w:b/>
          <w:bCs/>
        </w:rPr>
        <w:t>(</w:t>
      </w:r>
      <w:r>
        <w:rPr>
          <w:b/>
          <w:bCs/>
        </w:rPr>
        <w:t>1semaine</w:t>
      </w:r>
      <w:r w:rsidRPr="00C2540F">
        <w:rPr>
          <w:b/>
          <w:bCs/>
        </w:rPr>
        <w:t>)</w:t>
      </w:r>
    </w:p>
    <w:p w:rsidR="007B03CA" w:rsidRPr="00C2540F" w:rsidRDefault="007B03CA" w:rsidP="007B03CA">
      <w:pPr>
        <w:ind w:left="1560"/>
      </w:pPr>
      <w:r w:rsidRPr="00C2540F">
        <w:t>V</w:t>
      </w:r>
      <w:r>
        <w:t>I</w:t>
      </w:r>
      <w:r w:rsidRPr="00C2540F">
        <w:t>-1 Energie de déformation</w:t>
      </w:r>
    </w:p>
    <w:p w:rsidR="007B03CA" w:rsidRPr="00C2540F" w:rsidRDefault="007B03CA" w:rsidP="007B03CA">
      <w:pPr>
        <w:ind w:left="1560"/>
      </w:pPr>
      <w:r w:rsidRPr="00C2540F">
        <w:t>V</w:t>
      </w:r>
      <w:r>
        <w:t>I</w:t>
      </w:r>
      <w:r w:rsidRPr="00C2540F">
        <w:t xml:space="preserve">-2 Critère de résistance : Position du problème, Critère de Von Mises, Critère de </w:t>
      </w:r>
      <w:proofErr w:type="spellStart"/>
      <w:r w:rsidRPr="00C2540F">
        <w:t>Tresca</w:t>
      </w:r>
      <w:proofErr w:type="spellEnd"/>
    </w:p>
    <w:p w:rsidR="007B03CA" w:rsidRPr="00C2540F" w:rsidRDefault="007B03CA" w:rsidP="007B03CA">
      <w:pPr>
        <w:ind w:left="1560"/>
      </w:pPr>
    </w:p>
    <w:p w:rsidR="007B03CA" w:rsidRPr="00C2540F" w:rsidRDefault="007B03CA" w:rsidP="007B03CA">
      <w:r w:rsidRPr="00C2540F">
        <w:rPr>
          <w:b/>
        </w:rPr>
        <w:t>Chapitre VI</w:t>
      </w:r>
      <w:r>
        <w:rPr>
          <w:b/>
        </w:rPr>
        <w:t>I</w:t>
      </w:r>
      <w:r w:rsidRPr="00C2540F">
        <w:rPr>
          <w:b/>
        </w:rPr>
        <w:t> </w:t>
      </w:r>
      <w:r w:rsidRPr="00C2540F">
        <w:t xml:space="preserve"> -  Résolution des problèmes d'élasticité linéaire</w:t>
      </w:r>
      <w:r w:rsidRPr="00C2540F">
        <w:rPr>
          <w:b/>
          <w:bCs/>
        </w:rPr>
        <w:t>(</w:t>
      </w:r>
      <w:r>
        <w:rPr>
          <w:b/>
          <w:bCs/>
        </w:rPr>
        <w:t>4</w:t>
      </w:r>
      <w:r w:rsidRPr="00C2540F">
        <w:rPr>
          <w:b/>
          <w:bCs/>
        </w:rPr>
        <w:t xml:space="preserve"> semaines)</w:t>
      </w:r>
    </w:p>
    <w:p w:rsidR="007B03CA" w:rsidRPr="00C2540F" w:rsidRDefault="007B03CA" w:rsidP="007B03CA">
      <w:pPr>
        <w:ind w:left="1560"/>
      </w:pPr>
      <w:r w:rsidRPr="00C2540F">
        <w:t>V</w:t>
      </w:r>
      <w:r>
        <w:t>I</w:t>
      </w:r>
      <w:r w:rsidRPr="00C2540F">
        <w:t>I- 1- Résolutions par la  méthodes des déplacements (Equations de Navier).</w:t>
      </w:r>
    </w:p>
    <w:p w:rsidR="007B03CA" w:rsidRPr="00C2540F" w:rsidRDefault="007B03CA" w:rsidP="007B03CA">
      <w:pPr>
        <w:ind w:left="1560"/>
      </w:pPr>
      <w:r w:rsidRPr="00C2540F">
        <w:t>VI</w:t>
      </w:r>
      <w:r>
        <w:t>I</w:t>
      </w:r>
      <w:r w:rsidRPr="00C2540F">
        <w:t>- 2- Exemples de résolution des problèmes par la  méthodes des déplacements : torsion d'un cylindre, cylindre épais soumis à une pression.</w:t>
      </w:r>
    </w:p>
    <w:p w:rsidR="007B03CA" w:rsidRPr="00C2540F" w:rsidRDefault="007B03CA" w:rsidP="007B03CA">
      <w:pPr>
        <w:ind w:left="1560"/>
      </w:pPr>
      <w:r w:rsidRPr="00C2540F">
        <w:t>VI</w:t>
      </w:r>
      <w:r>
        <w:t>I</w:t>
      </w:r>
      <w:r w:rsidRPr="00C2540F">
        <w:t>- 3  Résolution par la méthode des contraintes (Méthode de Beltrami).</w:t>
      </w:r>
    </w:p>
    <w:p w:rsidR="007B03CA" w:rsidRPr="00C2540F" w:rsidRDefault="007B03CA" w:rsidP="007B03CA">
      <w:pPr>
        <w:ind w:left="1560"/>
      </w:pPr>
      <w:r w:rsidRPr="00C2540F">
        <w:t>VI</w:t>
      </w:r>
      <w:r>
        <w:t>I</w:t>
      </w:r>
      <w:r w:rsidRPr="00C2540F">
        <w:t xml:space="preserve"> - 4 Elasticité plane  et fonctions d'Airy.</w:t>
      </w:r>
    </w:p>
    <w:p w:rsidR="007B03CA" w:rsidRPr="00C2540F" w:rsidRDefault="007B03CA" w:rsidP="007B03CA">
      <w:pPr>
        <w:ind w:left="1560"/>
      </w:pPr>
      <w:r w:rsidRPr="00C2540F">
        <w:t>VI</w:t>
      </w:r>
      <w:r>
        <w:t>I</w:t>
      </w:r>
      <w:r w:rsidRPr="00C2540F">
        <w:t xml:space="preserve"> - 5 Exemples de résolution des problèmes d'élasticité par la fonction d'Airy.</w:t>
      </w:r>
    </w:p>
    <w:p w:rsidR="007B03CA" w:rsidRDefault="007B03CA" w:rsidP="007B03CA">
      <w:pPr>
        <w:ind w:left="360"/>
        <w:jc w:val="both"/>
        <w:rPr>
          <w:b/>
          <w:u w:val="thick" w:color="F79646"/>
        </w:rPr>
      </w:pPr>
    </w:p>
    <w:p w:rsidR="007B03CA" w:rsidRPr="00C2540F" w:rsidRDefault="007B03CA" w:rsidP="007B03CA">
      <w:pPr>
        <w:ind w:left="360"/>
        <w:jc w:val="both"/>
        <w:rPr>
          <w:b/>
          <w:u w:val="thick" w:color="F79646"/>
        </w:rPr>
      </w:pPr>
      <w:r w:rsidRPr="00C2540F">
        <w:rPr>
          <w:b/>
          <w:u w:val="thick" w:color="F79646"/>
        </w:rPr>
        <w:t>Mode d’évaluation:</w:t>
      </w:r>
    </w:p>
    <w:p w:rsidR="007B03CA" w:rsidRPr="00C2540F" w:rsidRDefault="007B03CA" w:rsidP="007B03CA">
      <w:pPr>
        <w:autoSpaceDE w:val="0"/>
        <w:autoSpaceDN w:val="0"/>
        <w:adjustRightInd w:val="0"/>
        <w:spacing w:line="360" w:lineRule="auto"/>
        <w:ind w:left="851"/>
        <w:rPr>
          <w:strike/>
        </w:rPr>
      </w:pPr>
      <w:r w:rsidRPr="00C2540F">
        <w:t>Contrôle continu : 40% ; examen : 60%.</w:t>
      </w:r>
    </w:p>
    <w:p w:rsidR="007B03CA" w:rsidRPr="00C2540F" w:rsidRDefault="007B03CA" w:rsidP="007B03CA">
      <w:pPr>
        <w:ind w:left="360"/>
        <w:jc w:val="both"/>
        <w:rPr>
          <w:iCs/>
          <w:u w:val="thick" w:color="F79646"/>
        </w:rPr>
      </w:pPr>
      <w:r w:rsidRPr="00C2540F">
        <w:rPr>
          <w:b/>
          <w:u w:val="thick" w:color="F79646"/>
        </w:rPr>
        <w:t>Références bibliographiques</w:t>
      </w:r>
      <w:r w:rsidRPr="00C2540F">
        <w:rPr>
          <w:iCs/>
          <w:u w:val="thick" w:color="F79646"/>
        </w:rPr>
        <w:t>:</w:t>
      </w:r>
    </w:p>
    <w:p w:rsidR="007B03CA" w:rsidRPr="00C2540F" w:rsidRDefault="007B03CA" w:rsidP="007B03CA">
      <w:pPr>
        <w:pStyle w:val="Paragraphedeliste"/>
        <w:numPr>
          <w:ilvl w:val="0"/>
          <w:numId w:val="1"/>
        </w:numPr>
        <w:jc w:val="both"/>
        <w:rPr>
          <w:rFonts w:eastAsia="Times New Roman"/>
          <w:i/>
          <w:iCs/>
          <w:sz w:val="22"/>
          <w:szCs w:val="22"/>
          <w:lang w:eastAsia="en-US"/>
        </w:rPr>
      </w:pPr>
      <w:r w:rsidRPr="00C2540F">
        <w:rPr>
          <w:rFonts w:eastAsia="Times New Roman"/>
          <w:i/>
          <w:iCs/>
          <w:sz w:val="22"/>
          <w:szCs w:val="22"/>
          <w:lang w:eastAsia="en-US"/>
        </w:rPr>
        <w:t xml:space="preserve">Mécanique des milieux continus - Tome 1 - Concepts généraux par Jean </w:t>
      </w:r>
      <w:proofErr w:type="spellStart"/>
      <w:r w:rsidRPr="00C2540F">
        <w:rPr>
          <w:rFonts w:eastAsia="Times New Roman"/>
          <w:i/>
          <w:iCs/>
          <w:sz w:val="22"/>
          <w:szCs w:val="22"/>
          <w:lang w:eastAsia="en-US"/>
        </w:rPr>
        <w:t>Salençon</w:t>
      </w:r>
      <w:proofErr w:type="spellEnd"/>
      <w:r w:rsidRPr="00C2540F">
        <w:rPr>
          <w:rFonts w:eastAsia="Times New Roman"/>
          <w:i/>
          <w:iCs/>
          <w:sz w:val="22"/>
          <w:szCs w:val="22"/>
          <w:lang w:eastAsia="en-US"/>
        </w:rPr>
        <w:t>, Edition Ecole Polytechnique de Paris, (2005).</w:t>
      </w:r>
    </w:p>
    <w:p w:rsidR="007B03CA" w:rsidRPr="00C2540F" w:rsidRDefault="007B03CA" w:rsidP="007B03CA">
      <w:pPr>
        <w:pStyle w:val="Paragraphedeliste"/>
        <w:numPr>
          <w:ilvl w:val="0"/>
          <w:numId w:val="1"/>
        </w:numPr>
        <w:jc w:val="both"/>
        <w:rPr>
          <w:rFonts w:eastAsia="Times New Roman"/>
          <w:i/>
          <w:iCs/>
          <w:sz w:val="22"/>
          <w:szCs w:val="22"/>
          <w:lang w:eastAsia="en-US"/>
        </w:rPr>
      </w:pPr>
      <w:r w:rsidRPr="00C2540F">
        <w:rPr>
          <w:rFonts w:eastAsia="Times New Roman"/>
          <w:i/>
          <w:iCs/>
          <w:sz w:val="22"/>
          <w:szCs w:val="22"/>
          <w:lang w:eastAsia="en-US"/>
        </w:rPr>
        <w:t xml:space="preserve">Mécanique des milieux continus - Tome 2 - </w:t>
      </w:r>
      <w:proofErr w:type="spellStart"/>
      <w:r w:rsidRPr="00C2540F">
        <w:rPr>
          <w:rFonts w:eastAsia="Times New Roman"/>
          <w:i/>
          <w:iCs/>
          <w:sz w:val="22"/>
          <w:szCs w:val="22"/>
          <w:lang w:eastAsia="en-US"/>
        </w:rPr>
        <w:t>Thermoélasticité</w:t>
      </w:r>
      <w:proofErr w:type="spellEnd"/>
      <w:r w:rsidRPr="00C2540F">
        <w:rPr>
          <w:rFonts w:eastAsia="Times New Roman"/>
          <w:i/>
          <w:iCs/>
          <w:sz w:val="22"/>
          <w:szCs w:val="22"/>
          <w:lang w:eastAsia="en-US"/>
        </w:rPr>
        <w:t xml:space="preserve"> par Jean </w:t>
      </w:r>
      <w:proofErr w:type="spellStart"/>
      <w:r w:rsidRPr="00C2540F">
        <w:rPr>
          <w:rFonts w:eastAsia="Times New Roman"/>
          <w:i/>
          <w:iCs/>
          <w:sz w:val="22"/>
          <w:szCs w:val="22"/>
          <w:lang w:eastAsia="en-US"/>
        </w:rPr>
        <w:t>Salençon</w:t>
      </w:r>
      <w:proofErr w:type="spellEnd"/>
      <w:r w:rsidRPr="00C2540F">
        <w:rPr>
          <w:rFonts w:eastAsia="Times New Roman"/>
          <w:i/>
          <w:iCs/>
          <w:sz w:val="22"/>
          <w:szCs w:val="22"/>
          <w:lang w:eastAsia="en-US"/>
        </w:rPr>
        <w:t>, Edition Ecole Polytechnique de Paris,  (2002).</w:t>
      </w:r>
    </w:p>
    <w:p w:rsidR="007B03CA" w:rsidRPr="00C2540F" w:rsidRDefault="007B03CA" w:rsidP="007B03CA">
      <w:pPr>
        <w:pStyle w:val="Paragraphedeliste"/>
        <w:numPr>
          <w:ilvl w:val="0"/>
          <w:numId w:val="1"/>
        </w:numPr>
        <w:jc w:val="both"/>
        <w:rPr>
          <w:rFonts w:eastAsia="Times New Roman"/>
          <w:i/>
          <w:iCs/>
          <w:sz w:val="22"/>
          <w:szCs w:val="22"/>
          <w:lang w:eastAsia="en-US"/>
        </w:rPr>
      </w:pPr>
      <w:r w:rsidRPr="00C2540F">
        <w:rPr>
          <w:rFonts w:eastAsia="Times New Roman"/>
          <w:i/>
          <w:iCs/>
          <w:sz w:val="22"/>
          <w:szCs w:val="22"/>
          <w:lang w:eastAsia="en-US"/>
        </w:rPr>
        <w:t xml:space="preserve">Mécanique des milieux continus - Tome 3 - Milieux curvilignes par Jean </w:t>
      </w:r>
      <w:proofErr w:type="spellStart"/>
      <w:r w:rsidRPr="00C2540F">
        <w:rPr>
          <w:rFonts w:eastAsia="Times New Roman"/>
          <w:i/>
          <w:iCs/>
          <w:sz w:val="22"/>
          <w:szCs w:val="22"/>
          <w:lang w:eastAsia="en-US"/>
        </w:rPr>
        <w:t>Salençon</w:t>
      </w:r>
      <w:proofErr w:type="spellEnd"/>
      <w:r w:rsidRPr="00C2540F">
        <w:rPr>
          <w:rFonts w:eastAsia="Times New Roman"/>
          <w:i/>
          <w:iCs/>
          <w:sz w:val="22"/>
          <w:szCs w:val="22"/>
          <w:lang w:eastAsia="en-US"/>
        </w:rPr>
        <w:t>, Edition Ecole Polytechnique de Paris,  (2002).</w:t>
      </w:r>
    </w:p>
    <w:p w:rsidR="007B03CA" w:rsidRPr="00C2540F" w:rsidRDefault="007B03CA" w:rsidP="007B03CA">
      <w:pPr>
        <w:pStyle w:val="Paragraphedeliste"/>
        <w:numPr>
          <w:ilvl w:val="0"/>
          <w:numId w:val="1"/>
        </w:numPr>
        <w:jc w:val="both"/>
        <w:rPr>
          <w:rFonts w:eastAsia="Times New Roman"/>
          <w:i/>
          <w:iCs/>
          <w:sz w:val="22"/>
          <w:szCs w:val="22"/>
          <w:lang w:eastAsia="en-US"/>
        </w:rPr>
      </w:pPr>
      <w:r w:rsidRPr="00C2540F">
        <w:rPr>
          <w:rFonts w:eastAsia="Times New Roman"/>
          <w:i/>
          <w:iCs/>
          <w:sz w:val="22"/>
          <w:szCs w:val="22"/>
          <w:lang w:eastAsia="en-US"/>
        </w:rPr>
        <w:t>Mécanique des milieux continus, par P. Germain, Editions Masson, Paris (1983)</w:t>
      </w:r>
    </w:p>
    <w:p w:rsidR="007B03CA" w:rsidRPr="00C2540F" w:rsidRDefault="007B03CA" w:rsidP="007B03CA">
      <w:pPr>
        <w:pStyle w:val="Paragraphedeliste"/>
        <w:numPr>
          <w:ilvl w:val="0"/>
          <w:numId w:val="1"/>
        </w:numPr>
        <w:spacing w:line="276" w:lineRule="auto"/>
        <w:ind w:right="282"/>
        <w:rPr>
          <w:rFonts w:eastAsia="Times New Roman"/>
          <w:i/>
          <w:iCs/>
          <w:sz w:val="22"/>
          <w:szCs w:val="22"/>
          <w:lang w:eastAsia="en-US"/>
        </w:rPr>
      </w:pPr>
      <w:r w:rsidRPr="00C2540F">
        <w:rPr>
          <w:rFonts w:eastAsia="Times New Roman"/>
          <w:i/>
          <w:iCs/>
          <w:sz w:val="22"/>
          <w:szCs w:val="22"/>
          <w:lang w:eastAsia="en-US"/>
        </w:rPr>
        <w:t>Théorie de l'élasticité, par S. Timoshenko et J.M.</w:t>
      </w:r>
      <w:proofErr w:type="spellStart"/>
      <w:r w:rsidRPr="00C2540F">
        <w:rPr>
          <w:rFonts w:eastAsia="Times New Roman"/>
          <w:i/>
          <w:iCs/>
          <w:sz w:val="22"/>
          <w:szCs w:val="22"/>
          <w:lang w:eastAsia="en-US"/>
        </w:rPr>
        <w:t>Goodier</w:t>
      </w:r>
      <w:proofErr w:type="spellEnd"/>
      <w:r w:rsidRPr="00C2540F">
        <w:rPr>
          <w:rFonts w:eastAsia="Times New Roman"/>
          <w:i/>
          <w:iCs/>
          <w:sz w:val="22"/>
          <w:szCs w:val="22"/>
          <w:lang w:eastAsia="en-US"/>
        </w:rPr>
        <w:t>, Librairie Polytechnique Ch. Béranger, 1961</w:t>
      </w:r>
    </w:p>
    <w:p w:rsidR="007B03CA" w:rsidRPr="00C2540F" w:rsidRDefault="007B03CA" w:rsidP="007B03CA">
      <w:pPr>
        <w:pStyle w:val="Paragraphedeliste"/>
        <w:numPr>
          <w:ilvl w:val="0"/>
          <w:numId w:val="1"/>
        </w:numPr>
        <w:spacing w:line="276" w:lineRule="auto"/>
        <w:ind w:right="282"/>
        <w:rPr>
          <w:rFonts w:eastAsia="Times New Roman"/>
          <w:i/>
          <w:iCs/>
          <w:sz w:val="22"/>
          <w:szCs w:val="22"/>
          <w:lang w:eastAsia="en-US"/>
        </w:rPr>
      </w:pPr>
      <w:r w:rsidRPr="00C2540F">
        <w:rPr>
          <w:rFonts w:eastAsia="Times New Roman"/>
          <w:i/>
          <w:iCs/>
          <w:sz w:val="22"/>
          <w:szCs w:val="22"/>
          <w:lang w:eastAsia="en-US"/>
        </w:rPr>
        <w:t xml:space="preserve">Mécanique des milieux continus - 4e édition: Cours et exercices corrigés, par </w:t>
      </w:r>
      <w:hyperlink r:id="rId5" w:history="1">
        <w:r w:rsidRPr="00C2540F">
          <w:rPr>
            <w:rFonts w:eastAsia="Times New Roman"/>
            <w:i/>
            <w:iCs/>
            <w:sz w:val="22"/>
            <w:szCs w:val="22"/>
            <w:lang w:eastAsia="en-US"/>
          </w:rPr>
          <w:t xml:space="preserve">Jean </w:t>
        </w:r>
        <w:proofErr w:type="spellStart"/>
        <w:r w:rsidRPr="00C2540F">
          <w:rPr>
            <w:rFonts w:eastAsia="Times New Roman"/>
            <w:i/>
            <w:iCs/>
            <w:sz w:val="22"/>
            <w:szCs w:val="22"/>
            <w:lang w:eastAsia="en-US"/>
          </w:rPr>
          <w:t>Coirier</w:t>
        </w:r>
        <w:proofErr w:type="spellEnd"/>
      </w:hyperlink>
      <w:r w:rsidRPr="00C2540F">
        <w:rPr>
          <w:rFonts w:eastAsia="Times New Roman"/>
          <w:i/>
          <w:iCs/>
          <w:sz w:val="22"/>
          <w:szCs w:val="22"/>
          <w:lang w:eastAsia="en-US"/>
        </w:rPr>
        <w:t xml:space="preserve"> et </w:t>
      </w:r>
      <w:hyperlink r:id="rId6" w:history="1">
        <w:r w:rsidRPr="00C2540F">
          <w:rPr>
            <w:rFonts w:eastAsia="Times New Roman"/>
            <w:i/>
            <w:iCs/>
            <w:sz w:val="22"/>
            <w:szCs w:val="22"/>
            <w:lang w:eastAsia="en-US"/>
          </w:rPr>
          <w:t xml:space="preserve">Carole </w:t>
        </w:r>
        <w:proofErr w:type="spellStart"/>
        <w:r w:rsidRPr="00C2540F">
          <w:rPr>
            <w:rFonts w:eastAsia="Times New Roman"/>
            <w:i/>
            <w:iCs/>
            <w:sz w:val="22"/>
            <w:szCs w:val="22"/>
            <w:lang w:eastAsia="en-US"/>
          </w:rPr>
          <w:t>Nadot</w:t>
        </w:r>
        <w:proofErr w:type="spellEnd"/>
        <w:r w:rsidRPr="00C2540F">
          <w:rPr>
            <w:rFonts w:eastAsia="Times New Roman"/>
            <w:i/>
            <w:iCs/>
            <w:sz w:val="22"/>
            <w:szCs w:val="22"/>
            <w:lang w:eastAsia="en-US"/>
          </w:rPr>
          <w:t>-Martin</w:t>
        </w:r>
      </w:hyperlink>
      <w:r w:rsidRPr="00C2540F">
        <w:rPr>
          <w:rFonts w:eastAsia="Times New Roman"/>
          <w:i/>
          <w:iCs/>
          <w:sz w:val="22"/>
          <w:szCs w:val="22"/>
          <w:lang w:eastAsia="en-US"/>
        </w:rPr>
        <w:t xml:space="preserve">, Edition </w:t>
      </w:r>
      <w:proofErr w:type="spellStart"/>
      <w:r w:rsidRPr="00C2540F">
        <w:rPr>
          <w:rFonts w:eastAsia="Times New Roman"/>
          <w:i/>
          <w:iCs/>
          <w:sz w:val="22"/>
          <w:szCs w:val="22"/>
          <w:lang w:eastAsia="en-US"/>
        </w:rPr>
        <w:t>Dunod</w:t>
      </w:r>
      <w:proofErr w:type="spellEnd"/>
      <w:r w:rsidRPr="00C2540F">
        <w:rPr>
          <w:rFonts w:eastAsia="Times New Roman"/>
          <w:i/>
          <w:iCs/>
          <w:sz w:val="22"/>
          <w:szCs w:val="22"/>
          <w:lang w:eastAsia="en-US"/>
        </w:rPr>
        <w:t>, 2013</w:t>
      </w:r>
    </w:p>
    <w:p w:rsidR="007B03CA" w:rsidRPr="00C2540F" w:rsidRDefault="007B03CA" w:rsidP="007B03CA">
      <w:pPr>
        <w:pStyle w:val="Paragraphedeliste"/>
        <w:numPr>
          <w:ilvl w:val="0"/>
          <w:numId w:val="1"/>
        </w:numPr>
        <w:spacing w:line="276" w:lineRule="auto"/>
        <w:ind w:right="282"/>
        <w:rPr>
          <w:rFonts w:eastAsia="Times New Roman"/>
          <w:i/>
          <w:iCs/>
          <w:sz w:val="22"/>
          <w:szCs w:val="22"/>
          <w:lang w:eastAsia="en-US"/>
        </w:rPr>
      </w:pPr>
      <w:r w:rsidRPr="00C2540F">
        <w:rPr>
          <w:rFonts w:eastAsia="Times New Roman"/>
          <w:i/>
          <w:iCs/>
          <w:sz w:val="22"/>
          <w:szCs w:val="22"/>
          <w:lang w:eastAsia="en-US"/>
        </w:rPr>
        <w:t xml:space="preserve">Modélisation mathématique et mécanique des milieux continus, Par Roger Temam et Alain </w:t>
      </w:r>
      <w:proofErr w:type="spellStart"/>
      <w:r w:rsidRPr="00C2540F">
        <w:rPr>
          <w:rFonts w:eastAsia="Times New Roman"/>
          <w:i/>
          <w:iCs/>
          <w:sz w:val="22"/>
          <w:szCs w:val="22"/>
          <w:lang w:eastAsia="en-US"/>
        </w:rPr>
        <w:t>Miranville</w:t>
      </w:r>
      <w:proofErr w:type="spellEnd"/>
      <w:r w:rsidRPr="00C2540F">
        <w:rPr>
          <w:rFonts w:eastAsia="Times New Roman"/>
          <w:i/>
          <w:iCs/>
          <w:sz w:val="22"/>
          <w:szCs w:val="22"/>
          <w:lang w:eastAsia="en-US"/>
        </w:rPr>
        <w:t xml:space="preserve">, Edition </w:t>
      </w:r>
      <w:proofErr w:type="spellStart"/>
      <w:r w:rsidRPr="00C2540F">
        <w:rPr>
          <w:rFonts w:eastAsia="Times New Roman"/>
          <w:i/>
          <w:iCs/>
          <w:sz w:val="22"/>
          <w:szCs w:val="22"/>
          <w:lang w:eastAsia="en-US"/>
        </w:rPr>
        <w:t>Scopos</w:t>
      </w:r>
      <w:proofErr w:type="spellEnd"/>
      <w:r w:rsidRPr="00C2540F">
        <w:rPr>
          <w:rFonts w:eastAsia="Times New Roman"/>
          <w:i/>
          <w:iCs/>
          <w:sz w:val="22"/>
          <w:szCs w:val="22"/>
          <w:lang w:eastAsia="en-US"/>
        </w:rPr>
        <w:t>, Springer.</w:t>
      </w:r>
    </w:p>
    <w:p w:rsidR="007B03CA" w:rsidRPr="00C2540F" w:rsidRDefault="007B03CA" w:rsidP="007B03CA">
      <w:pPr>
        <w:pStyle w:val="Paragraphedeliste"/>
        <w:numPr>
          <w:ilvl w:val="0"/>
          <w:numId w:val="1"/>
        </w:numPr>
        <w:spacing w:line="276" w:lineRule="auto"/>
        <w:ind w:right="282"/>
        <w:rPr>
          <w:rFonts w:eastAsia="Times New Roman"/>
          <w:i/>
          <w:iCs/>
          <w:sz w:val="22"/>
          <w:szCs w:val="22"/>
          <w:lang w:eastAsia="en-US"/>
        </w:rPr>
      </w:pPr>
      <w:r w:rsidRPr="00C2540F">
        <w:rPr>
          <w:rFonts w:eastAsia="Times New Roman"/>
          <w:i/>
          <w:iCs/>
          <w:sz w:val="22"/>
          <w:szCs w:val="22"/>
          <w:lang w:eastAsia="en-US"/>
        </w:rPr>
        <w:t xml:space="preserve">Mécanique des milieux continus, par </w:t>
      </w:r>
      <w:hyperlink r:id="rId7" w:history="1">
        <w:r w:rsidRPr="00C2540F">
          <w:rPr>
            <w:rFonts w:eastAsia="Times New Roman"/>
            <w:i/>
            <w:iCs/>
            <w:sz w:val="22"/>
            <w:szCs w:val="22"/>
            <w:lang w:eastAsia="en-US"/>
          </w:rPr>
          <w:t xml:space="preserve">G. </w:t>
        </w:r>
        <w:proofErr w:type="spellStart"/>
        <w:r w:rsidRPr="00C2540F">
          <w:rPr>
            <w:rFonts w:eastAsia="Times New Roman"/>
            <w:i/>
            <w:iCs/>
            <w:sz w:val="22"/>
            <w:szCs w:val="22"/>
            <w:lang w:eastAsia="en-US"/>
          </w:rPr>
          <w:t>Duvaut</w:t>
        </w:r>
        <w:proofErr w:type="spellEnd"/>
      </w:hyperlink>
      <w:r w:rsidRPr="00C2540F">
        <w:rPr>
          <w:rFonts w:eastAsia="Times New Roman"/>
          <w:i/>
          <w:iCs/>
          <w:sz w:val="22"/>
          <w:szCs w:val="22"/>
          <w:lang w:eastAsia="en-US"/>
        </w:rPr>
        <w:t>, Edition Masson, 1990</w:t>
      </w:r>
    </w:p>
    <w:p w:rsidR="007B03CA" w:rsidRPr="00C2540F" w:rsidRDefault="007B03CA" w:rsidP="007B03CA">
      <w:pPr>
        <w:pStyle w:val="Paragraphedeliste"/>
        <w:numPr>
          <w:ilvl w:val="0"/>
          <w:numId w:val="1"/>
        </w:numPr>
        <w:spacing w:line="276" w:lineRule="auto"/>
        <w:ind w:right="282"/>
        <w:rPr>
          <w:rFonts w:eastAsia="Times New Roman"/>
          <w:i/>
          <w:iCs/>
          <w:sz w:val="22"/>
          <w:szCs w:val="22"/>
          <w:lang w:eastAsia="en-US"/>
        </w:rPr>
      </w:pPr>
      <w:r w:rsidRPr="00C2540F">
        <w:rPr>
          <w:rFonts w:eastAsia="Times New Roman"/>
          <w:i/>
          <w:iCs/>
          <w:sz w:val="22"/>
          <w:szCs w:val="22"/>
          <w:lang w:eastAsia="en-US"/>
        </w:rPr>
        <w:t xml:space="preserve">Introduction à la mécanique des milieux continus, par </w:t>
      </w:r>
      <w:hyperlink r:id="rId8" w:history="1">
        <w:r w:rsidRPr="00C2540F">
          <w:rPr>
            <w:rFonts w:eastAsia="Times New Roman"/>
            <w:i/>
            <w:iCs/>
            <w:sz w:val="22"/>
            <w:szCs w:val="22"/>
            <w:lang w:eastAsia="en-US"/>
          </w:rPr>
          <w:t>Paul Germain</w:t>
        </w:r>
      </w:hyperlink>
      <w:r w:rsidRPr="00C2540F">
        <w:rPr>
          <w:rFonts w:eastAsia="Times New Roman"/>
          <w:i/>
          <w:iCs/>
          <w:sz w:val="22"/>
          <w:szCs w:val="22"/>
          <w:lang w:eastAsia="en-US"/>
        </w:rPr>
        <w:t xml:space="preserve"> et </w:t>
      </w:r>
      <w:hyperlink r:id="rId9" w:history="1">
        <w:r w:rsidRPr="00C2540F">
          <w:rPr>
            <w:rFonts w:eastAsia="Times New Roman"/>
            <w:i/>
            <w:iCs/>
            <w:sz w:val="22"/>
            <w:szCs w:val="22"/>
            <w:lang w:eastAsia="en-US"/>
          </w:rPr>
          <w:t>Patrick Muller</w:t>
        </w:r>
      </w:hyperlink>
      <w:r w:rsidRPr="00C2540F">
        <w:rPr>
          <w:rFonts w:eastAsia="Times New Roman"/>
          <w:i/>
          <w:iCs/>
          <w:sz w:val="22"/>
          <w:szCs w:val="22"/>
          <w:lang w:eastAsia="en-US"/>
        </w:rPr>
        <w:t>, Edition Masson, 1995</w:t>
      </w:r>
    </w:p>
    <w:p w:rsidR="007B03CA" w:rsidRDefault="007B03CA" w:rsidP="007B03CA">
      <w:pPr>
        <w:pStyle w:val="Paragraphedeliste"/>
        <w:numPr>
          <w:ilvl w:val="0"/>
          <w:numId w:val="1"/>
        </w:numPr>
        <w:spacing w:line="276" w:lineRule="auto"/>
        <w:ind w:right="282"/>
        <w:rPr>
          <w:rFonts w:eastAsia="Times New Roman"/>
          <w:i/>
          <w:iCs/>
          <w:sz w:val="22"/>
          <w:szCs w:val="22"/>
          <w:lang w:eastAsia="en-US"/>
        </w:rPr>
      </w:pPr>
      <w:r w:rsidRPr="00C2540F">
        <w:rPr>
          <w:rFonts w:eastAsia="Times New Roman"/>
          <w:i/>
          <w:iCs/>
          <w:sz w:val="22"/>
          <w:szCs w:val="22"/>
          <w:lang w:eastAsia="en-US"/>
        </w:rPr>
        <w:t xml:space="preserve">Mécanique des milieux continus: une introduction, Par John </w:t>
      </w:r>
      <w:proofErr w:type="spellStart"/>
      <w:r w:rsidRPr="00C2540F">
        <w:rPr>
          <w:rFonts w:eastAsia="Times New Roman"/>
          <w:i/>
          <w:iCs/>
          <w:sz w:val="22"/>
          <w:szCs w:val="22"/>
          <w:lang w:eastAsia="en-US"/>
        </w:rPr>
        <w:t>Botsis</w:t>
      </w:r>
      <w:proofErr w:type="spellEnd"/>
      <w:r w:rsidRPr="00C2540F">
        <w:rPr>
          <w:rFonts w:eastAsia="Times New Roman"/>
          <w:i/>
          <w:iCs/>
          <w:sz w:val="22"/>
          <w:szCs w:val="22"/>
          <w:lang w:eastAsia="en-US"/>
        </w:rPr>
        <w:t xml:space="preserve"> et Michel Deville, Presses Polytechniques et Universitaires Romandes</w:t>
      </w:r>
    </w:p>
    <w:p w:rsidR="007B03CA" w:rsidRDefault="007B03CA" w:rsidP="007B03CA">
      <w:pPr>
        <w:spacing w:line="276" w:lineRule="auto"/>
        <w:ind w:right="282"/>
        <w:rPr>
          <w:rFonts w:eastAsia="Times New Roman"/>
          <w:i/>
          <w:iCs/>
          <w:sz w:val="22"/>
          <w:szCs w:val="22"/>
          <w:lang w:eastAsia="en-US"/>
        </w:rPr>
      </w:pPr>
    </w:p>
    <w:p w:rsidR="007B03CA" w:rsidRDefault="007B03CA" w:rsidP="007B03CA">
      <w:pPr>
        <w:spacing w:line="276" w:lineRule="auto"/>
        <w:ind w:right="282"/>
        <w:rPr>
          <w:rFonts w:eastAsia="Times New Roman"/>
          <w:i/>
          <w:iCs/>
          <w:sz w:val="22"/>
          <w:szCs w:val="22"/>
          <w:lang w:eastAsia="en-US"/>
        </w:rPr>
      </w:pPr>
    </w:p>
    <w:p w:rsidR="007B03CA" w:rsidRDefault="007B03CA" w:rsidP="007B03CA">
      <w:pPr>
        <w:spacing w:line="276" w:lineRule="auto"/>
        <w:ind w:right="282"/>
        <w:rPr>
          <w:rFonts w:eastAsia="Times New Roman"/>
          <w:i/>
          <w:iCs/>
          <w:sz w:val="22"/>
          <w:szCs w:val="22"/>
          <w:lang w:eastAsia="en-US"/>
        </w:rPr>
      </w:pPr>
    </w:p>
    <w:p w:rsidR="007B03CA" w:rsidRDefault="007B03CA" w:rsidP="007B03CA">
      <w:pPr>
        <w:spacing w:line="276" w:lineRule="auto"/>
        <w:ind w:right="282"/>
        <w:rPr>
          <w:rFonts w:eastAsia="Times New Roman"/>
          <w:i/>
          <w:iCs/>
          <w:sz w:val="22"/>
          <w:szCs w:val="22"/>
          <w:lang w:eastAsia="en-US"/>
        </w:rPr>
      </w:pPr>
    </w:p>
    <w:p w:rsidR="007B03CA" w:rsidRDefault="007B03CA" w:rsidP="007B03CA">
      <w:pPr>
        <w:spacing w:line="276" w:lineRule="auto"/>
        <w:ind w:right="282"/>
        <w:rPr>
          <w:rFonts w:eastAsia="Times New Roman"/>
          <w:i/>
          <w:iCs/>
          <w:sz w:val="22"/>
          <w:szCs w:val="22"/>
          <w:lang w:eastAsia="en-US"/>
        </w:rPr>
        <w:sectPr w:rsidR="007B03CA" w:rsidSect="005F0A00">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rsidR="003C3159" w:rsidRDefault="003C3159" w:rsidP="007B03CA">
      <w:pPr>
        <w:pBdr>
          <w:top w:val="single" w:sz="12" w:space="1" w:color="auto"/>
          <w:left w:val="single" w:sz="12" w:space="4" w:color="auto"/>
          <w:bottom w:val="single" w:sz="12" w:space="1" w:color="auto"/>
          <w:right w:val="single" w:sz="12" w:space="4" w:color="auto"/>
        </w:pBdr>
        <w:shd w:val="clear" w:color="auto" w:fill="DAEEF3"/>
        <w:jc w:val="both"/>
      </w:pPr>
    </w:p>
    <w:sectPr w:rsidR="003C3159" w:rsidSect="003C31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32AAD"/>
    <w:multiLevelType w:val="hybridMultilevel"/>
    <w:tmpl w:val="AFDAA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7B03CA"/>
    <w:rsid w:val="003C3159"/>
    <w:rsid w:val="007B03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CA"/>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w:basedOn w:val="Normal"/>
    <w:link w:val="ParagraphedelisteCar"/>
    <w:uiPriority w:val="34"/>
    <w:qFormat/>
    <w:rsid w:val="007B03CA"/>
    <w:pPr>
      <w:ind w:left="720"/>
      <w:contextualSpacing/>
    </w:pPr>
  </w:style>
  <w:style w:type="character" w:customStyle="1" w:styleId="ParagraphedelisteCar">
    <w:name w:val="Paragraphe de liste Car"/>
    <w:aliases w:val="Paragraphe Car"/>
    <w:link w:val="Paragraphedeliste"/>
    <w:uiPriority w:val="34"/>
    <w:qFormat/>
    <w:locked/>
    <w:rsid w:val="007B03CA"/>
    <w:rPr>
      <w:rFonts w:ascii="Times New Roman" w:eastAsia="SimSun" w:hAnsi="Times New Roman" w:cs="Times New Roman"/>
      <w:sz w:val="24"/>
      <w:szCs w:val="24"/>
      <w:lang w:eastAsia="zh-CN"/>
    </w:rPr>
  </w:style>
  <w:style w:type="paragraph" w:customStyle="1" w:styleId="Default">
    <w:name w:val="Default"/>
    <w:rsid w:val="007B03CA"/>
    <w:pPr>
      <w:autoSpaceDE w:val="0"/>
      <w:autoSpaceDN w:val="0"/>
      <w:adjustRightInd w:val="0"/>
      <w:spacing w:after="0" w:line="240" w:lineRule="auto"/>
    </w:pPr>
    <w:rPr>
      <w:rFonts w:ascii="Arial" w:eastAsia="Calibri" w:hAnsi="Arial" w:cs="Arial"/>
      <w:color w:val="000000"/>
      <w:sz w:val="24"/>
      <w:szCs w:val="24"/>
    </w:rPr>
  </w:style>
  <w:style w:type="character" w:styleId="Accentuation">
    <w:name w:val="Emphasis"/>
    <w:basedOn w:val="Policepardfaut"/>
    <w:uiPriority w:val="20"/>
    <w:qFormat/>
    <w:rsid w:val="007B03CA"/>
    <w:rPr>
      <w:i/>
      <w:iCs/>
    </w:rPr>
  </w:style>
  <w:style w:type="character" w:customStyle="1" w:styleId="st1">
    <w:name w:val="st1"/>
    <w:basedOn w:val="Policepardfaut"/>
    <w:rsid w:val="007B03CA"/>
  </w:style>
  <w:style w:type="character" w:customStyle="1" w:styleId="mw-headline">
    <w:name w:val="mw-headline"/>
    <w:basedOn w:val="Policepardfaut"/>
    <w:rsid w:val="007B03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fr/search?hl=fr&amp;tbo=p&amp;tbm=bks&amp;q=inauthor:%22Paul+Germain%22" TargetMode="External"/><Relationship Id="rId3" Type="http://schemas.openxmlformats.org/officeDocument/2006/relationships/settings" Target="settings.xml"/><Relationship Id="rId7" Type="http://schemas.openxmlformats.org/officeDocument/2006/relationships/hyperlink" Target="https://www.google.fr/search?hl=fr&amp;tbo=p&amp;tbm=bks&amp;q=inauthor:%22G.+Duvaut%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fr/search?hl=fr&amp;tbo=p&amp;tbm=bks&amp;q=inauthor:%22Carole+Nadot-Martin%22" TargetMode="External"/><Relationship Id="rId11" Type="http://schemas.openxmlformats.org/officeDocument/2006/relationships/theme" Target="theme/theme1.xml"/><Relationship Id="rId5" Type="http://schemas.openxmlformats.org/officeDocument/2006/relationships/hyperlink" Target="https://www.google.fr/search?hl=fr&amp;tbo=p&amp;tbm=bks&amp;q=inauthor:%22Jean+Coirier%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fr/search?hl=fr&amp;tbo=p&amp;tbm=bks&amp;q=inauthor:%22Patrick+Muller%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4398</Characters>
  <Application>Microsoft Office Word</Application>
  <DocSecurity>0</DocSecurity>
  <Lines>36</Lines>
  <Paragraphs>10</Paragraphs>
  <ScaleCrop>false</ScaleCrop>
  <Company>CRTI</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dc:creator>
  <cp:lastModifiedBy>Adell</cp:lastModifiedBy>
  <cp:revision>1</cp:revision>
  <dcterms:created xsi:type="dcterms:W3CDTF">2020-12-09T16:17:00Z</dcterms:created>
  <dcterms:modified xsi:type="dcterms:W3CDTF">2020-12-09T16:19:00Z</dcterms:modified>
</cp:coreProperties>
</file>